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DDD1B" w14:textId="71224BD3" w:rsidR="0693EB9D" w:rsidRDefault="0693EB9D" w:rsidP="0693EB9D">
      <w:pPr>
        <w:spacing w:after="0"/>
        <w:jc w:val="right"/>
        <w:rPr>
          <w:rFonts w:asciiTheme="minorHAnsi" w:hAnsiTheme="minorHAnsi" w:cstheme="minorBidi"/>
          <w:sz w:val="24"/>
          <w:szCs w:val="24"/>
        </w:rPr>
      </w:pPr>
    </w:p>
    <w:p w14:paraId="5EF05FBB" w14:textId="08EC2C5D" w:rsidR="00CB310B" w:rsidRDefault="00815D95" w:rsidP="00A11CCD">
      <w:pPr>
        <w:spacing w:after="0"/>
        <w:jc w:val="right"/>
        <w:rPr>
          <w:rFonts w:asciiTheme="minorHAnsi" w:hAnsiTheme="minorHAnsi" w:cstheme="minorHAnsi"/>
          <w:sz w:val="24"/>
          <w:szCs w:val="24"/>
        </w:rPr>
      </w:pPr>
      <w:r>
        <w:rPr>
          <w:rFonts w:asciiTheme="minorHAnsi" w:hAnsiTheme="minorHAnsi" w:cstheme="minorHAnsi"/>
          <w:sz w:val="24"/>
          <w:szCs w:val="24"/>
        </w:rPr>
        <w:t>March 20, 2025</w:t>
      </w:r>
    </w:p>
    <w:p w14:paraId="1D3ED032" w14:textId="77777777" w:rsidR="00B93B96" w:rsidRPr="00A81A11" w:rsidRDefault="00B93B96" w:rsidP="0693EB9D">
      <w:pPr>
        <w:spacing w:after="0"/>
        <w:jc w:val="both"/>
        <w:rPr>
          <w:rFonts w:asciiTheme="minorHAnsi" w:eastAsia="MS Mincho" w:hAnsiTheme="minorHAnsi" w:cstheme="minorBidi"/>
          <w:sz w:val="24"/>
          <w:szCs w:val="24"/>
        </w:rPr>
      </w:pPr>
    </w:p>
    <w:p w14:paraId="5F59B50F" w14:textId="152ABE0E" w:rsidR="0693EB9D" w:rsidRDefault="0693EB9D" w:rsidP="0693EB9D">
      <w:pPr>
        <w:spacing w:after="0"/>
        <w:jc w:val="both"/>
        <w:rPr>
          <w:rFonts w:asciiTheme="minorHAnsi" w:eastAsia="MS Mincho" w:hAnsiTheme="minorHAnsi" w:cstheme="minorBidi"/>
          <w:sz w:val="24"/>
          <w:szCs w:val="24"/>
        </w:rPr>
      </w:pPr>
    </w:p>
    <w:p w14:paraId="7213A984" w14:textId="4E835341" w:rsidR="00EA0CE3" w:rsidRDefault="00024498" w:rsidP="00EA0CE3">
      <w:pPr>
        <w:spacing w:after="0"/>
        <w:jc w:val="both"/>
        <w:rPr>
          <w:rFonts w:asciiTheme="minorHAnsi" w:eastAsia="MS Mincho" w:hAnsiTheme="minorHAnsi" w:cstheme="minorHAnsi"/>
          <w:sz w:val="24"/>
          <w:szCs w:val="24"/>
        </w:rPr>
      </w:pPr>
      <w:r>
        <w:rPr>
          <w:rFonts w:asciiTheme="minorHAnsi" w:eastAsia="MS Mincho" w:hAnsiTheme="minorHAnsi" w:cstheme="minorHAnsi"/>
          <w:sz w:val="24"/>
          <w:szCs w:val="24"/>
        </w:rPr>
        <w:t>Ramya Ramaswamy</w:t>
      </w:r>
    </w:p>
    <w:p w14:paraId="7C3153B2" w14:textId="66F643A6" w:rsidR="00EA0CE3" w:rsidRDefault="00024498" w:rsidP="00EA0CE3">
      <w:pPr>
        <w:spacing w:after="0"/>
        <w:jc w:val="both"/>
        <w:rPr>
          <w:rFonts w:asciiTheme="minorHAnsi" w:eastAsia="MS Mincho" w:hAnsiTheme="minorHAnsi" w:cstheme="minorHAnsi"/>
          <w:sz w:val="24"/>
          <w:szCs w:val="24"/>
        </w:rPr>
      </w:pPr>
      <w:r>
        <w:rPr>
          <w:rFonts w:asciiTheme="minorHAnsi" w:eastAsia="MS Mincho" w:hAnsiTheme="minorHAnsi" w:cstheme="minorHAnsi"/>
          <w:sz w:val="24"/>
          <w:szCs w:val="24"/>
        </w:rPr>
        <w:t>Public Utility Commission of Texas</w:t>
      </w:r>
    </w:p>
    <w:p w14:paraId="78A04B5A" w14:textId="211CAAC0" w:rsidR="00024498" w:rsidRDefault="00024498" w:rsidP="00EA0CE3">
      <w:pPr>
        <w:spacing w:after="0"/>
        <w:jc w:val="both"/>
        <w:rPr>
          <w:rFonts w:asciiTheme="minorHAnsi" w:eastAsia="MS Mincho" w:hAnsiTheme="minorHAnsi" w:cstheme="minorHAnsi"/>
          <w:sz w:val="24"/>
          <w:szCs w:val="24"/>
        </w:rPr>
      </w:pPr>
      <w:r>
        <w:rPr>
          <w:rFonts w:asciiTheme="minorHAnsi" w:eastAsia="MS Mincho" w:hAnsiTheme="minorHAnsi" w:cstheme="minorHAnsi"/>
          <w:sz w:val="24"/>
          <w:szCs w:val="24"/>
        </w:rPr>
        <w:t>1701 N. Congress Ave, Suite 7-110</w:t>
      </w:r>
    </w:p>
    <w:p w14:paraId="244A61C4" w14:textId="678CCF2E" w:rsidR="00024498" w:rsidRPr="00C27257" w:rsidRDefault="00024498" w:rsidP="00EA0CE3">
      <w:pPr>
        <w:spacing w:after="0"/>
        <w:jc w:val="both"/>
        <w:rPr>
          <w:rFonts w:asciiTheme="minorHAnsi" w:eastAsia="MS Mincho" w:hAnsiTheme="minorHAnsi" w:cstheme="minorHAnsi"/>
          <w:sz w:val="24"/>
          <w:szCs w:val="24"/>
        </w:rPr>
      </w:pPr>
      <w:r>
        <w:rPr>
          <w:rFonts w:asciiTheme="minorHAnsi" w:eastAsia="MS Mincho" w:hAnsiTheme="minorHAnsi" w:cstheme="minorHAnsi"/>
          <w:sz w:val="24"/>
          <w:szCs w:val="24"/>
        </w:rPr>
        <w:t>Austin, TX 78701</w:t>
      </w:r>
    </w:p>
    <w:p w14:paraId="36A1327D" w14:textId="77777777" w:rsidR="00820426" w:rsidRDefault="00820426" w:rsidP="00820426">
      <w:pPr>
        <w:spacing w:after="0"/>
        <w:jc w:val="both"/>
        <w:rPr>
          <w:rFonts w:asciiTheme="minorHAnsi" w:eastAsia="MS Mincho" w:hAnsiTheme="minorHAnsi" w:cstheme="minorHAnsi"/>
          <w:sz w:val="24"/>
          <w:szCs w:val="24"/>
        </w:rPr>
      </w:pPr>
    </w:p>
    <w:p w14:paraId="128236F9" w14:textId="7990F8B1" w:rsidR="00F15F38" w:rsidRPr="00A81A11" w:rsidRDefault="00F15F38" w:rsidP="00811783">
      <w:pPr>
        <w:rPr>
          <w:rFonts w:asciiTheme="minorHAnsi" w:eastAsia="MS Mincho" w:hAnsiTheme="minorHAnsi" w:cstheme="minorHAnsi"/>
          <w:sz w:val="24"/>
          <w:szCs w:val="24"/>
        </w:rPr>
      </w:pPr>
      <w:r w:rsidRPr="00467462">
        <w:rPr>
          <w:rFonts w:asciiTheme="minorHAnsi" w:eastAsia="MS Mincho" w:hAnsiTheme="minorHAnsi" w:cstheme="minorHAnsi"/>
          <w:sz w:val="24"/>
          <w:szCs w:val="24"/>
        </w:rPr>
        <w:t xml:space="preserve">Re: </w:t>
      </w:r>
      <w:r w:rsidR="000F4018" w:rsidRPr="00467462">
        <w:rPr>
          <w:rFonts w:asciiTheme="minorHAnsi" w:eastAsia="MS Mincho" w:hAnsiTheme="minorHAnsi" w:cstheme="minorHAnsi"/>
          <w:sz w:val="24"/>
          <w:szCs w:val="24"/>
        </w:rPr>
        <w:t>ACEEE Comments on</w:t>
      </w:r>
      <w:r w:rsidR="00467462" w:rsidRPr="00467462">
        <w:rPr>
          <w:rFonts w:asciiTheme="minorHAnsi" w:eastAsia="MS Mincho" w:hAnsiTheme="minorHAnsi" w:cstheme="minorHAnsi"/>
          <w:sz w:val="24"/>
          <w:szCs w:val="24"/>
        </w:rPr>
        <w:t xml:space="preserve"> </w:t>
      </w:r>
      <w:r w:rsidR="00024498">
        <w:rPr>
          <w:rFonts w:asciiTheme="minorHAnsi" w:eastAsia="MS Mincho" w:hAnsiTheme="minorHAnsi" w:cstheme="minorHAnsi"/>
          <w:sz w:val="24"/>
          <w:szCs w:val="24"/>
        </w:rPr>
        <w:t>Project No. 57743 – Review of Energy Efficiency substantive rules</w:t>
      </w:r>
    </w:p>
    <w:p w14:paraId="7D64E68D" w14:textId="13E02642" w:rsidR="0009751C" w:rsidRPr="00A81A11" w:rsidRDefault="0009751C" w:rsidP="0009751C">
      <w:pPr>
        <w:spacing w:after="0"/>
        <w:jc w:val="both"/>
        <w:rPr>
          <w:rFonts w:asciiTheme="minorHAnsi" w:eastAsia="MS Mincho" w:hAnsiTheme="minorHAnsi" w:cstheme="minorHAnsi"/>
          <w:sz w:val="24"/>
          <w:szCs w:val="24"/>
        </w:rPr>
      </w:pPr>
      <w:r w:rsidRPr="00A81A11">
        <w:rPr>
          <w:rFonts w:asciiTheme="minorHAnsi" w:eastAsia="MS Mincho" w:hAnsiTheme="minorHAnsi" w:cstheme="minorHAnsi"/>
          <w:sz w:val="24"/>
          <w:szCs w:val="24"/>
        </w:rPr>
        <w:t xml:space="preserve">Dear </w:t>
      </w:r>
      <w:r w:rsidR="00024498">
        <w:rPr>
          <w:rFonts w:asciiTheme="minorHAnsi" w:eastAsia="MS Mincho" w:hAnsiTheme="minorHAnsi" w:cstheme="minorHAnsi"/>
          <w:sz w:val="24"/>
          <w:szCs w:val="24"/>
        </w:rPr>
        <w:t>Ramya</w:t>
      </w:r>
      <w:r w:rsidR="00811783">
        <w:rPr>
          <w:rFonts w:asciiTheme="minorHAnsi" w:eastAsia="MS Mincho" w:hAnsiTheme="minorHAnsi" w:cstheme="minorHAnsi"/>
          <w:sz w:val="24"/>
          <w:szCs w:val="24"/>
        </w:rPr>
        <w:t>,</w:t>
      </w:r>
    </w:p>
    <w:p w14:paraId="67B06A47" w14:textId="77777777" w:rsidR="0009751C" w:rsidRPr="00A81A11" w:rsidRDefault="0009751C" w:rsidP="0009751C">
      <w:pPr>
        <w:spacing w:after="0"/>
        <w:jc w:val="both"/>
        <w:rPr>
          <w:rFonts w:asciiTheme="minorHAnsi" w:eastAsia="MS Mincho" w:hAnsiTheme="minorHAnsi" w:cstheme="minorHAnsi"/>
          <w:sz w:val="24"/>
          <w:szCs w:val="24"/>
        </w:rPr>
      </w:pPr>
    </w:p>
    <w:p w14:paraId="22561B3C" w14:textId="4DE70538" w:rsidR="00E54938" w:rsidRDefault="49BA72B9" w:rsidP="0693EB9D">
      <w:pPr>
        <w:rPr>
          <w:rFonts w:asciiTheme="minorHAnsi" w:eastAsia="MS Mincho" w:hAnsiTheme="minorHAnsi" w:cstheme="minorBidi"/>
          <w:sz w:val="24"/>
          <w:szCs w:val="24"/>
        </w:rPr>
      </w:pPr>
      <w:r w:rsidRPr="0693EB9D">
        <w:rPr>
          <w:rFonts w:asciiTheme="minorHAnsi" w:eastAsia="MS Mincho" w:hAnsiTheme="minorHAnsi" w:cstheme="minorBidi"/>
          <w:sz w:val="24"/>
          <w:szCs w:val="24"/>
        </w:rPr>
        <w:t>The</w:t>
      </w:r>
      <w:r w:rsidR="38379238" w:rsidRPr="0693EB9D">
        <w:rPr>
          <w:rFonts w:asciiTheme="minorHAnsi" w:eastAsia="MS Mincho" w:hAnsiTheme="minorHAnsi" w:cstheme="minorBidi"/>
          <w:sz w:val="24"/>
          <w:szCs w:val="24"/>
        </w:rPr>
        <w:t xml:space="preserve"> American Council for an Energy-Efficien</w:t>
      </w:r>
      <w:r w:rsidR="1C3D5149" w:rsidRPr="0693EB9D">
        <w:rPr>
          <w:rFonts w:asciiTheme="minorHAnsi" w:eastAsia="MS Mincho" w:hAnsiTheme="minorHAnsi" w:cstheme="minorBidi"/>
          <w:sz w:val="24"/>
          <w:szCs w:val="24"/>
        </w:rPr>
        <w:t>t</w:t>
      </w:r>
      <w:r w:rsidR="38379238" w:rsidRPr="0693EB9D">
        <w:rPr>
          <w:rFonts w:asciiTheme="minorHAnsi" w:eastAsia="MS Mincho" w:hAnsiTheme="minorHAnsi" w:cstheme="minorBidi"/>
          <w:sz w:val="24"/>
          <w:szCs w:val="24"/>
        </w:rPr>
        <w:t xml:space="preserve"> Economy</w:t>
      </w:r>
      <w:r w:rsidR="42D79BAF" w:rsidRPr="0693EB9D">
        <w:rPr>
          <w:rFonts w:asciiTheme="minorHAnsi" w:eastAsia="MS Mincho" w:hAnsiTheme="minorHAnsi" w:cstheme="minorBidi"/>
          <w:sz w:val="24"/>
          <w:szCs w:val="24"/>
        </w:rPr>
        <w:t xml:space="preserve"> (ACEEE)</w:t>
      </w:r>
      <w:r w:rsidRPr="0693EB9D">
        <w:rPr>
          <w:rFonts w:asciiTheme="minorHAnsi" w:eastAsia="MS Mincho" w:hAnsiTheme="minorHAnsi" w:cstheme="minorBidi"/>
          <w:sz w:val="24"/>
          <w:szCs w:val="24"/>
        </w:rPr>
        <w:t xml:space="preserve"> </w:t>
      </w:r>
      <w:r w:rsidR="0AADB0CC" w:rsidRPr="0693EB9D">
        <w:rPr>
          <w:rFonts w:asciiTheme="minorHAnsi" w:eastAsia="MS Mincho" w:hAnsiTheme="minorHAnsi" w:cstheme="minorBidi"/>
          <w:sz w:val="24"/>
          <w:szCs w:val="24"/>
        </w:rPr>
        <w:t xml:space="preserve">tremendously appreciates </w:t>
      </w:r>
      <w:r w:rsidR="0277D096" w:rsidRPr="0693EB9D">
        <w:rPr>
          <w:rFonts w:asciiTheme="minorHAnsi" w:eastAsia="MS Mincho" w:hAnsiTheme="minorHAnsi" w:cstheme="minorBidi"/>
          <w:sz w:val="24"/>
          <w:szCs w:val="24"/>
        </w:rPr>
        <w:t xml:space="preserve">the opportunity to provide </w:t>
      </w:r>
      <w:r w:rsidR="33BE6127" w:rsidRPr="0693EB9D">
        <w:rPr>
          <w:rFonts w:asciiTheme="minorHAnsi" w:eastAsia="MS Mincho" w:hAnsiTheme="minorHAnsi" w:cstheme="minorBidi"/>
          <w:sz w:val="24"/>
          <w:szCs w:val="24"/>
        </w:rPr>
        <w:t xml:space="preserve">these </w:t>
      </w:r>
      <w:r w:rsidR="0277D096" w:rsidRPr="0693EB9D">
        <w:rPr>
          <w:rFonts w:asciiTheme="minorHAnsi" w:eastAsia="MS Mincho" w:hAnsiTheme="minorHAnsi" w:cstheme="minorBidi"/>
          <w:sz w:val="24"/>
          <w:szCs w:val="24"/>
        </w:rPr>
        <w:t xml:space="preserve">comments </w:t>
      </w:r>
      <w:r w:rsidR="33BE6127" w:rsidRPr="0693EB9D">
        <w:rPr>
          <w:rFonts w:asciiTheme="minorHAnsi" w:eastAsia="MS Mincho" w:hAnsiTheme="minorHAnsi" w:cstheme="minorBidi"/>
          <w:sz w:val="24"/>
          <w:szCs w:val="24"/>
        </w:rPr>
        <w:t>regarding</w:t>
      </w:r>
      <w:r w:rsidR="0277D096" w:rsidRPr="0693EB9D">
        <w:rPr>
          <w:rFonts w:asciiTheme="minorHAnsi" w:eastAsia="MS Mincho" w:hAnsiTheme="minorHAnsi" w:cstheme="minorBidi"/>
          <w:sz w:val="24"/>
          <w:szCs w:val="24"/>
        </w:rPr>
        <w:t xml:space="preserve"> the Public Utility Commission of Texas’ </w:t>
      </w:r>
      <w:r w:rsidR="7E01FEE2" w:rsidRPr="0693EB9D">
        <w:rPr>
          <w:rFonts w:asciiTheme="minorHAnsi" w:eastAsia="MS Mincho" w:hAnsiTheme="minorHAnsi" w:cstheme="minorBidi"/>
          <w:sz w:val="24"/>
          <w:szCs w:val="24"/>
        </w:rPr>
        <w:t xml:space="preserve">(PUCT) </w:t>
      </w:r>
      <w:r w:rsidR="0277D096" w:rsidRPr="0693EB9D">
        <w:rPr>
          <w:rFonts w:asciiTheme="minorHAnsi" w:eastAsia="MS Mincho" w:hAnsiTheme="minorHAnsi" w:cstheme="minorBidi"/>
          <w:sz w:val="24"/>
          <w:szCs w:val="24"/>
        </w:rPr>
        <w:t xml:space="preserve">energy efficiency rules. Since the last time these rules were updated, the role and impact of energy efficiency </w:t>
      </w:r>
      <w:r w:rsidR="10FF14BB" w:rsidRPr="0693EB9D">
        <w:rPr>
          <w:rFonts w:asciiTheme="minorHAnsi" w:eastAsia="MS Mincho" w:hAnsiTheme="minorHAnsi" w:cstheme="minorBidi"/>
          <w:sz w:val="24"/>
          <w:szCs w:val="24"/>
        </w:rPr>
        <w:t>(EE)</w:t>
      </w:r>
      <w:r w:rsidR="33BE6127" w:rsidRPr="0693EB9D">
        <w:rPr>
          <w:rFonts w:asciiTheme="minorHAnsi" w:eastAsia="MS Mincho" w:hAnsiTheme="minorHAnsi" w:cstheme="minorBidi"/>
          <w:sz w:val="24"/>
          <w:szCs w:val="24"/>
        </w:rPr>
        <w:t xml:space="preserve">, and demand side management </w:t>
      </w:r>
      <w:r w:rsidR="7982753F" w:rsidRPr="0693EB9D">
        <w:rPr>
          <w:rFonts w:asciiTheme="minorHAnsi" w:eastAsia="MS Mincho" w:hAnsiTheme="minorHAnsi" w:cstheme="minorBidi"/>
          <w:sz w:val="24"/>
          <w:szCs w:val="24"/>
        </w:rPr>
        <w:t xml:space="preserve">(DSM) </w:t>
      </w:r>
      <w:r w:rsidR="33BE6127" w:rsidRPr="0693EB9D">
        <w:rPr>
          <w:rFonts w:asciiTheme="minorHAnsi" w:eastAsia="MS Mincho" w:hAnsiTheme="minorHAnsi" w:cstheme="minorBidi"/>
          <w:sz w:val="24"/>
          <w:szCs w:val="24"/>
        </w:rPr>
        <w:t xml:space="preserve">more broadly, </w:t>
      </w:r>
      <w:r w:rsidR="0277D096" w:rsidRPr="0693EB9D">
        <w:rPr>
          <w:rFonts w:asciiTheme="minorHAnsi" w:eastAsia="MS Mincho" w:hAnsiTheme="minorHAnsi" w:cstheme="minorBidi"/>
          <w:sz w:val="24"/>
          <w:szCs w:val="24"/>
        </w:rPr>
        <w:t>has continued to evolve in ways that can bring even more value to Texas today. Energy efficiency provide</w:t>
      </w:r>
      <w:r w:rsidR="33BE6127" w:rsidRPr="0693EB9D">
        <w:rPr>
          <w:rFonts w:asciiTheme="minorHAnsi" w:eastAsia="MS Mincho" w:hAnsiTheme="minorHAnsi" w:cstheme="minorBidi"/>
          <w:sz w:val="24"/>
          <w:szCs w:val="24"/>
        </w:rPr>
        <w:t>s</w:t>
      </w:r>
      <w:r w:rsidR="0277D096" w:rsidRPr="0693EB9D">
        <w:rPr>
          <w:rFonts w:asciiTheme="minorHAnsi" w:eastAsia="MS Mincho" w:hAnsiTheme="minorHAnsi" w:cstheme="minorBidi"/>
          <w:sz w:val="24"/>
          <w:szCs w:val="24"/>
        </w:rPr>
        <w:t xml:space="preserve"> essential energy resources benefits </w:t>
      </w:r>
      <w:r w:rsidR="10FF14BB" w:rsidRPr="0693EB9D">
        <w:rPr>
          <w:rFonts w:asciiTheme="minorHAnsi" w:eastAsia="MS Mincho" w:hAnsiTheme="minorHAnsi" w:cstheme="minorBidi"/>
          <w:sz w:val="24"/>
          <w:szCs w:val="24"/>
        </w:rPr>
        <w:t>by</w:t>
      </w:r>
      <w:r w:rsidR="0277D096" w:rsidRPr="0693EB9D">
        <w:rPr>
          <w:rFonts w:asciiTheme="minorHAnsi" w:eastAsia="MS Mincho" w:hAnsiTheme="minorHAnsi" w:cstheme="minorBidi"/>
          <w:sz w:val="24"/>
          <w:szCs w:val="24"/>
        </w:rPr>
        <w:t xml:space="preserve"> </w:t>
      </w:r>
      <w:r w:rsidR="10FF14BB" w:rsidRPr="0693EB9D">
        <w:rPr>
          <w:rFonts w:asciiTheme="minorHAnsi" w:eastAsia="MS Mincho" w:hAnsiTheme="minorHAnsi" w:cstheme="minorBidi"/>
          <w:sz w:val="24"/>
          <w:szCs w:val="24"/>
        </w:rPr>
        <w:t xml:space="preserve">a) </w:t>
      </w:r>
      <w:r w:rsidR="0277D096" w:rsidRPr="0693EB9D">
        <w:rPr>
          <w:rFonts w:asciiTheme="minorHAnsi" w:eastAsia="MS Mincho" w:hAnsiTheme="minorHAnsi" w:cstheme="minorBidi"/>
          <w:sz w:val="24"/>
          <w:szCs w:val="24"/>
        </w:rPr>
        <w:t xml:space="preserve">lowering customer </w:t>
      </w:r>
      <w:r w:rsidR="10FF14BB" w:rsidRPr="0693EB9D">
        <w:rPr>
          <w:rFonts w:asciiTheme="minorHAnsi" w:eastAsia="MS Mincho" w:hAnsiTheme="minorHAnsi" w:cstheme="minorBidi"/>
          <w:sz w:val="24"/>
          <w:szCs w:val="24"/>
        </w:rPr>
        <w:t xml:space="preserve">energy </w:t>
      </w:r>
      <w:r w:rsidR="0277D096" w:rsidRPr="0693EB9D">
        <w:rPr>
          <w:rFonts w:asciiTheme="minorHAnsi" w:eastAsia="MS Mincho" w:hAnsiTheme="minorHAnsi" w:cstheme="minorBidi"/>
          <w:sz w:val="24"/>
          <w:szCs w:val="24"/>
        </w:rPr>
        <w:t xml:space="preserve">bills and utility system costs overall, </w:t>
      </w:r>
      <w:r w:rsidR="10FF14BB" w:rsidRPr="0693EB9D">
        <w:rPr>
          <w:rFonts w:asciiTheme="minorHAnsi" w:eastAsia="MS Mincho" w:hAnsiTheme="minorHAnsi" w:cstheme="minorBidi"/>
          <w:sz w:val="24"/>
          <w:szCs w:val="24"/>
        </w:rPr>
        <w:t xml:space="preserve">b) </w:t>
      </w:r>
      <w:r w:rsidR="0277D096" w:rsidRPr="0693EB9D">
        <w:rPr>
          <w:rFonts w:asciiTheme="minorHAnsi" w:eastAsia="MS Mincho" w:hAnsiTheme="minorHAnsi" w:cstheme="minorBidi"/>
          <w:sz w:val="24"/>
          <w:szCs w:val="24"/>
        </w:rPr>
        <w:t xml:space="preserve">offsetting the need for more expensive </w:t>
      </w:r>
      <w:r w:rsidR="10FF14BB" w:rsidRPr="0693EB9D">
        <w:rPr>
          <w:rFonts w:asciiTheme="minorHAnsi" w:eastAsia="MS Mincho" w:hAnsiTheme="minorHAnsi" w:cstheme="minorBidi"/>
          <w:sz w:val="24"/>
          <w:szCs w:val="24"/>
        </w:rPr>
        <w:t xml:space="preserve">transmission, distribution, and power </w:t>
      </w:r>
      <w:r w:rsidR="0277D096" w:rsidRPr="0693EB9D">
        <w:rPr>
          <w:rFonts w:asciiTheme="minorHAnsi" w:eastAsia="MS Mincho" w:hAnsiTheme="minorHAnsi" w:cstheme="minorBidi"/>
          <w:sz w:val="24"/>
          <w:szCs w:val="24"/>
        </w:rPr>
        <w:t xml:space="preserve">generation </w:t>
      </w:r>
      <w:r w:rsidR="10FF14BB" w:rsidRPr="0693EB9D">
        <w:rPr>
          <w:rFonts w:asciiTheme="minorHAnsi" w:eastAsia="MS Mincho" w:hAnsiTheme="minorHAnsi" w:cstheme="minorBidi"/>
          <w:sz w:val="24"/>
          <w:szCs w:val="24"/>
        </w:rPr>
        <w:t xml:space="preserve">investments, and c) improving reliability </w:t>
      </w:r>
      <w:r w:rsidR="66715C39" w:rsidRPr="0693EB9D">
        <w:rPr>
          <w:rFonts w:asciiTheme="minorHAnsi" w:eastAsia="MS Mincho" w:hAnsiTheme="minorHAnsi" w:cstheme="minorBidi"/>
          <w:sz w:val="24"/>
          <w:szCs w:val="24"/>
        </w:rPr>
        <w:t>and resilence</w:t>
      </w:r>
      <w:r w:rsidR="10FF14BB" w:rsidRPr="0693EB9D">
        <w:rPr>
          <w:rFonts w:asciiTheme="minorHAnsi" w:eastAsia="MS Mincho" w:hAnsiTheme="minorHAnsi" w:cstheme="minorBidi"/>
          <w:sz w:val="24"/>
          <w:szCs w:val="24"/>
        </w:rPr>
        <w:t xml:space="preserve"> at the local and system level (including during severe weather events). As the number of ways </w:t>
      </w:r>
      <w:r w:rsidR="33BE6127" w:rsidRPr="0693EB9D">
        <w:rPr>
          <w:rFonts w:asciiTheme="minorHAnsi" w:eastAsia="MS Mincho" w:hAnsiTheme="minorHAnsi" w:cstheme="minorBidi"/>
          <w:sz w:val="24"/>
          <w:szCs w:val="24"/>
        </w:rPr>
        <w:t>EE</w:t>
      </w:r>
      <w:r w:rsidR="10FF14BB" w:rsidRPr="0693EB9D">
        <w:rPr>
          <w:rFonts w:asciiTheme="minorHAnsi" w:eastAsia="MS Mincho" w:hAnsiTheme="minorHAnsi" w:cstheme="minorBidi"/>
          <w:sz w:val="24"/>
          <w:szCs w:val="24"/>
        </w:rPr>
        <w:t xml:space="preserve"> is used</w:t>
      </w:r>
      <w:r w:rsidR="33BE6127" w:rsidRPr="0693EB9D">
        <w:rPr>
          <w:rFonts w:asciiTheme="minorHAnsi" w:eastAsia="MS Mincho" w:hAnsiTheme="minorHAnsi" w:cstheme="minorBidi"/>
          <w:sz w:val="24"/>
          <w:szCs w:val="24"/>
        </w:rPr>
        <w:t xml:space="preserve"> has</w:t>
      </w:r>
      <w:r w:rsidR="10FF14BB" w:rsidRPr="0693EB9D">
        <w:rPr>
          <w:rFonts w:asciiTheme="minorHAnsi" w:eastAsia="MS Mincho" w:hAnsiTheme="minorHAnsi" w:cstheme="minorBidi"/>
          <w:sz w:val="24"/>
          <w:szCs w:val="24"/>
        </w:rPr>
        <w:t xml:space="preserve"> grown, so to</w:t>
      </w:r>
      <w:r w:rsidR="33BE6127" w:rsidRPr="0693EB9D">
        <w:rPr>
          <w:rFonts w:asciiTheme="minorHAnsi" w:eastAsia="MS Mincho" w:hAnsiTheme="minorHAnsi" w:cstheme="minorBidi"/>
          <w:sz w:val="24"/>
          <w:szCs w:val="24"/>
        </w:rPr>
        <w:t>o</w:t>
      </w:r>
      <w:r w:rsidR="10FF14BB" w:rsidRPr="0693EB9D">
        <w:rPr>
          <w:rFonts w:asciiTheme="minorHAnsi" w:eastAsia="MS Mincho" w:hAnsiTheme="minorHAnsi" w:cstheme="minorBidi"/>
          <w:sz w:val="24"/>
          <w:szCs w:val="24"/>
        </w:rPr>
        <w:t xml:space="preserve"> have the policies and practices that guide </w:t>
      </w:r>
      <w:r w:rsidR="33BE6127" w:rsidRPr="0693EB9D">
        <w:rPr>
          <w:rFonts w:asciiTheme="minorHAnsi" w:eastAsia="MS Mincho" w:hAnsiTheme="minorHAnsi" w:cstheme="minorBidi"/>
          <w:sz w:val="24"/>
          <w:szCs w:val="24"/>
        </w:rPr>
        <w:t>its</w:t>
      </w:r>
      <w:r w:rsidR="10FF14BB" w:rsidRPr="0693EB9D">
        <w:rPr>
          <w:rFonts w:asciiTheme="minorHAnsi" w:eastAsia="MS Mincho" w:hAnsiTheme="minorHAnsi" w:cstheme="minorBidi"/>
          <w:sz w:val="24"/>
          <w:szCs w:val="24"/>
        </w:rPr>
        <w:t xml:space="preserve"> use. The recommendations outlined </w:t>
      </w:r>
      <w:r w:rsidR="3F65CD60" w:rsidRPr="0693EB9D">
        <w:rPr>
          <w:rFonts w:asciiTheme="minorHAnsi" w:eastAsia="MS Mincho" w:hAnsiTheme="minorHAnsi" w:cstheme="minorBidi"/>
          <w:sz w:val="24"/>
          <w:szCs w:val="24"/>
        </w:rPr>
        <w:t xml:space="preserve">for your consideration </w:t>
      </w:r>
      <w:r w:rsidR="10FF14BB" w:rsidRPr="0693EB9D">
        <w:rPr>
          <w:rFonts w:asciiTheme="minorHAnsi" w:eastAsia="MS Mincho" w:hAnsiTheme="minorHAnsi" w:cstheme="minorBidi"/>
          <w:sz w:val="24"/>
          <w:szCs w:val="24"/>
        </w:rPr>
        <w:t>in these comments reflect</w:t>
      </w:r>
      <w:r w:rsidR="3F65CD60" w:rsidRPr="0693EB9D">
        <w:rPr>
          <w:rFonts w:asciiTheme="minorHAnsi" w:eastAsia="MS Mincho" w:hAnsiTheme="minorHAnsi" w:cstheme="minorBidi"/>
          <w:sz w:val="24"/>
          <w:szCs w:val="24"/>
        </w:rPr>
        <w:t xml:space="preserve"> well-researched </w:t>
      </w:r>
      <w:r w:rsidR="5CF77F0D" w:rsidRPr="0693EB9D">
        <w:rPr>
          <w:rFonts w:asciiTheme="minorHAnsi" w:eastAsia="MS Mincho" w:hAnsiTheme="minorHAnsi" w:cstheme="minorBidi"/>
          <w:sz w:val="24"/>
          <w:szCs w:val="24"/>
        </w:rPr>
        <w:t xml:space="preserve">and time-proven </w:t>
      </w:r>
      <w:r w:rsidR="3F65CD60" w:rsidRPr="0693EB9D">
        <w:rPr>
          <w:rFonts w:asciiTheme="minorHAnsi" w:eastAsia="MS Mincho" w:hAnsiTheme="minorHAnsi" w:cstheme="minorBidi"/>
          <w:sz w:val="24"/>
          <w:szCs w:val="24"/>
        </w:rPr>
        <w:t xml:space="preserve">methods for delivering high impact energy saving programs, </w:t>
      </w:r>
      <w:r w:rsidR="5CF77F0D" w:rsidRPr="0693EB9D">
        <w:rPr>
          <w:rFonts w:asciiTheme="minorHAnsi" w:eastAsia="MS Mincho" w:hAnsiTheme="minorHAnsi" w:cstheme="minorBidi"/>
          <w:sz w:val="24"/>
          <w:szCs w:val="24"/>
        </w:rPr>
        <w:t xml:space="preserve">as demonstrated by their </w:t>
      </w:r>
      <w:r w:rsidR="33BE6127" w:rsidRPr="0693EB9D">
        <w:rPr>
          <w:rFonts w:asciiTheme="minorHAnsi" w:eastAsia="MS Mincho" w:hAnsiTheme="minorHAnsi" w:cstheme="minorBidi"/>
          <w:sz w:val="24"/>
          <w:szCs w:val="24"/>
        </w:rPr>
        <w:t xml:space="preserve">well-documented and </w:t>
      </w:r>
      <w:r w:rsidR="5CF77F0D" w:rsidRPr="0693EB9D">
        <w:rPr>
          <w:rFonts w:asciiTheme="minorHAnsi" w:eastAsia="MS Mincho" w:hAnsiTheme="minorHAnsi" w:cstheme="minorBidi"/>
          <w:sz w:val="24"/>
          <w:szCs w:val="24"/>
        </w:rPr>
        <w:t xml:space="preserve">successful use in </w:t>
      </w:r>
      <w:r w:rsidR="33BE6127" w:rsidRPr="0693EB9D">
        <w:rPr>
          <w:rFonts w:asciiTheme="minorHAnsi" w:eastAsia="MS Mincho" w:hAnsiTheme="minorHAnsi" w:cstheme="minorBidi"/>
          <w:sz w:val="24"/>
          <w:szCs w:val="24"/>
        </w:rPr>
        <w:t>leading</w:t>
      </w:r>
      <w:r w:rsidR="5CF77F0D" w:rsidRPr="0693EB9D">
        <w:rPr>
          <w:rFonts w:asciiTheme="minorHAnsi" w:eastAsia="MS Mincho" w:hAnsiTheme="minorHAnsi" w:cstheme="minorBidi"/>
          <w:sz w:val="24"/>
          <w:szCs w:val="24"/>
        </w:rPr>
        <w:t xml:space="preserve"> states across the country. </w:t>
      </w:r>
    </w:p>
    <w:p w14:paraId="1C860ED8" w14:textId="0B471520" w:rsidR="00ED08B5" w:rsidRPr="00ED08B5" w:rsidRDefault="2EE0F2D4" w:rsidP="0693EB9D">
      <w:pPr>
        <w:spacing w:after="0"/>
        <w:rPr>
          <w:rFonts w:asciiTheme="minorHAnsi" w:hAnsiTheme="minorHAnsi" w:cstheme="minorBidi"/>
          <w:sz w:val="24"/>
          <w:szCs w:val="24"/>
        </w:rPr>
      </w:pPr>
      <w:r w:rsidRPr="0693EB9D">
        <w:rPr>
          <w:rFonts w:asciiTheme="minorHAnsi" w:eastAsia="MS Mincho" w:hAnsiTheme="minorHAnsi" w:cstheme="minorBidi"/>
          <w:sz w:val="24"/>
          <w:szCs w:val="24"/>
        </w:rPr>
        <w:t xml:space="preserve">ACEEE is the Nation’s </w:t>
      </w:r>
      <w:r w:rsidR="0AFBBC1C" w:rsidRPr="0693EB9D">
        <w:rPr>
          <w:rFonts w:asciiTheme="minorHAnsi" w:eastAsia="MS Mincho" w:hAnsiTheme="minorHAnsi" w:cstheme="minorBidi"/>
          <w:sz w:val="24"/>
          <w:szCs w:val="24"/>
        </w:rPr>
        <w:t>premier</w:t>
      </w:r>
      <w:r w:rsidRPr="0693EB9D">
        <w:rPr>
          <w:rFonts w:asciiTheme="minorHAnsi" w:eastAsia="MS Mincho" w:hAnsiTheme="minorHAnsi" w:cstheme="minorBidi"/>
          <w:sz w:val="24"/>
          <w:szCs w:val="24"/>
        </w:rPr>
        <w:t xml:space="preserve"> energy efficiency research, education, and advocacy </w:t>
      </w:r>
      <w:r w:rsidR="0AFBBC1C" w:rsidRPr="0693EB9D">
        <w:rPr>
          <w:rFonts w:asciiTheme="minorHAnsi" w:eastAsia="MS Mincho" w:hAnsiTheme="minorHAnsi" w:cstheme="minorBidi"/>
          <w:sz w:val="24"/>
          <w:szCs w:val="24"/>
        </w:rPr>
        <w:t xml:space="preserve">non-profit </w:t>
      </w:r>
      <w:r w:rsidRPr="0693EB9D">
        <w:rPr>
          <w:rFonts w:asciiTheme="minorHAnsi" w:eastAsia="MS Mincho" w:hAnsiTheme="minorHAnsi" w:cstheme="minorBidi"/>
          <w:sz w:val="24"/>
          <w:szCs w:val="24"/>
        </w:rPr>
        <w:t>organization</w:t>
      </w:r>
      <w:r w:rsidR="0AFBBC1C" w:rsidRPr="0693EB9D">
        <w:rPr>
          <w:rFonts w:asciiTheme="minorHAnsi" w:eastAsia="MS Mincho" w:hAnsiTheme="minorHAnsi" w:cstheme="minorBidi"/>
          <w:sz w:val="24"/>
          <w:szCs w:val="24"/>
        </w:rPr>
        <w:t xml:space="preserve">. </w:t>
      </w:r>
      <w:r w:rsidR="0AFBBC1C" w:rsidRPr="0693EB9D">
        <w:rPr>
          <w:rFonts w:asciiTheme="minorHAnsi" w:hAnsiTheme="minorHAnsi" w:cstheme="minorBidi"/>
          <w:sz w:val="24"/>
          <w:szCs w:val="24"/>
        </w:rPr>
        <w:t xml:space="preserve">With our independent analysis, we </w:t>
      </w:r>
      <w:r w:rsidR="1FA623F4" w:rsidRPr="0693EB9D">
        <w:rPr>
          <w:rFonts w:asciiTheme="minorHAnsi" w:hAnsiTheme="minorHAnsi" w:cstheme="minorBidi"/>
          <w:sz w:val="24"/>
          <w:szCs w:val="24"/>
        </w:rPr>
        <w:t xml:space="preserve">aim to support the work of state regulators and utilities to deliver effective and ambitious EE programs that drive economic development, </w:t>
      </w:r>
      <w:r w:rsidR="74D7A315" w:rsidRPr="0693EB9D">
        <w:rPr>
          <w:rFonts w:asciiTheme="minorHAnsi" w:hAnsiTheme="minorHAnsi" w:cstheme="minorBidi"/>
          <w:sz w:val="24"/>
          <w:szCs w:val="24"/>
        </w:rPr>
        <w:t xml:space="preserve">enable us to </w:t>
      </w:r>
      <w:r w:rsidR="1FA623F4" w:rsidRPr="0693EB9D">
        <w:rPr>
          <w:rFonts w:asciiTheme="minorHAnsi" w:hAnsiTheme="minorHAnsi" w:cstheme="minorBidi"/>
          <w:sz w:val="24"/>
          <w:szCs w:val="24"/>
        </w:rPr>
        <w:t xml:space="preserve">use energy resources wisely, and ensure energy affordability for </w:t>
      </w:r>
      <w:r w:rsidR="74D7A315" w:rsidRPr="0693EB9D">
        <w:rPr>
          <w:rFonts w:asciiTheme="minorHAnsi" w:hAnsiTheme="minorHAnsi" w:cstheme="minorBidi"/>
          <w:sz w:val="24"/>
          <w:szCs w:val="24"/>
        </w:rPr>
        <w:t xml:space="preserve">all utility customers. In addition to regularly publishing research for national audiences, such as the </w:t>
      </w:r>
      <w:r w:rsidR="6BFBA1F9" w:rsidRPr="0693EB9D">
        <w:rPr>
          <w:rFonts w:asciiTheme="minorHAnsi" w:hAnsiTheme="minorHAnsi" w:cstheme="minorBidi"/>
          <w:sz w:val="24"/>
          <w:szCs w:val="24"/>
        </w:rPr>
        <w:t>recently released</w:t>
      </w:r>
      <w:r w:rsidR="74D7A315" w:rsidRPr="0693EB9D">
        <w:rPr>
          <w:rFonts w:asciiTheme="minorHAnsi" w:hAnsiTheme="minorHAnsi" w:cstheme="minorBidi"/>
          <w:sz w:val="24"/>
          <w:szCs w:val="24"/>
        </w:rPr>
        <w:t xml:space="preserve"> </w:t>
      </w:r>
      <w:hyperlink r:id="rId11">
        <w:r w:rsidR="74D7A315" w:rsidRPr="0693EB9D">
          <w:rPr>
            <w:rStyle w:val="Hyperlink"/>
            <w:rFonts w:asciiTheme="minorHAnsi" w:hAnsiTheme="minorHAnsi" w:cstheme="minorBidi"/>
            <w:sz w:val="24"/>
            <w:szCs w:val="24"/>
          </w:rPr>
          <w:t>2025 State Energy Efficiency Scorecard</w:t>
        </w:r>
      </w:hyperlink>
      <w:r w:rsidR="74D7A315" w:rsidRPr="0693EB9D">
        <w:rPr>
          <w:rFonts w:asciiTheme="minorHAnsi" w:hAnsiTheme="minorHAnsi" w:cstheme="minorBidi"/>
          <w:sz w:val="24"/>
          <w:szCs w:val="24"/>
        </w:rPr>
        <w:t>, ACEEE also produces analys</w:t>
      </w:r>
      <w:r w:rsidR="1BF1FCF6" w:rsidRPr="0693EB9D">
        <w:rPr>
          <w:rFonts w:asciiTheme="minorHAnsi" w:hAnsiTheme="minorHAnsi" w:cstheme="minorBidi"/>
          <w:sz w:val="24"/>
          <w:szCs w:val="24"/>
        </w:rPr>
        <w:t>e</w:t>
      </w:r>
      <w:r w:rsidR="74D7A315" w:rsidRPr="0693EB9D">
        <w:rPr>
          <w:rFonts w:asciiTheme="minorHAnsi" w:hAnsiTheme="minorHAnsi" w:cstheme="minorBidi"/>
          <w:sz w:val="24"/>
          <w:szCs w:val="24"/>
        </w:rPr>
        <w:t xml:space="preserve">s that </w:t>
      </w:r>
      <w:r w:rsidR="31A4E28D" w:rsidRPr="0693EB9D">
        <w:rPr>
          <w:rFonts w:asciiTheme="minorHAnsi" w:hAnsiTheme="minorHAnsi" w:cstheme="minorBidi"/>
          <w:sz w:val="24"/>
          <w:szCs w:val="24"/>
        </w:rPr>
        <w:t>address</w:t>
      </w:r>
      <w:r w:rsidR="74D7A315" w:rsidRPr="0693EB9D">
        <w:rPr>
          <w:rFonts w:asciiTheme="minorHAnsi" w:hAnsiTheme="minorHAnsi" w:cstheme="minorBidi"/>
          <w:sz w:val="24"/>
          <w:szCs w:val="24"/>
        </w:rPr>
        <w:t xml:space="preserve"> state specific issues. Over the past two years, ACEEE published two such reports for Texas</w:t>
      </w:r>
      <w:r w:rsidR="4B6F0267" w:rsidRPr="0693EB9D">
        <w:rPr>
          <w:rFonts w:asciiTheme="minorHAnsi" w:hAnsiTheme="minorHAnsi" w:cstheme="minorBidi"/>
          <w:sz w:val="24"/>
          <w:szCs w:val="24"/>
        </w:rPr>
        <w:t xml:space="preserve"> focused on ways to save customers money and prepare for future extreme weather events: </w:t>
      </w:r>
      <w:r w:rsidR="74D7A315" w:rsidRPr="0693EB9D">
        <w:rPr>
          <w:rFonts w:asciiTheme="minorHAnsi" w:hAnsiTheme="minorHAnsi" w:cstheme="minorBidi"/>
          <w:sz w:val="24"/>
          <w:szCs w:val="24"/>
        </w:rPr>
        <w:t xml:space="preserve"> </w:t>
      </w:r>
      <w:r w:rsidR="4B6F0267" w:rsidRPr="0693EB9D">
        <w:rPr>
          <w:rFonts w:asciiTheme="minorHAnsi" w:hAnsiTheme="minorHAnsi" w:cstheme="minorBidi"/>
          <w:sz w:val="24"/>
          <w:szCs w:val="24"/>
        </w:rPr>
        <w:t>“</w:t>
      </w:r>
      <w:hyperlink r:id="rId12">
        <w:r w:rsidR="4B6F0267" w:rsidRPr="0693EB9D">
          <w:rPr>
            <w:rStyle w:val="Hyperlink"/>
            <w:rFonts w:asciiTheme="minorHAnsi" w:hAnsiTheme="minorHAnsi" w:cstheme="minorBidi"/>
            <w:sz w:val="24"/>
            <w:szCs w:val="24"/>
          </w:rPr>
          <w:t>Energy Efficiency and Demand-Response: Tools to Address Texas’ Reliability Challenges</w:t>
        </w:r>
      </w:hyperlink>
      <w:r w:rsidR="4B6F0267" w:rsidRPr="0693EB9D">
        <w:rPr>
          <w:rFonts w:asciiTheme="minorHAnsi" w:hAnsiTheme="minorHAnsi" w:cstheme="minorBidi"/>
          <w:sz w:val="24"/>
          <w:szCs w:val="24"/>
        </w:rPr>
        <w:t xml:space="preserve">,” in 2023 and </w:t>
      </w:r>
      <w:r w:rsidR="7524DAE2" w:rsidRPr="0693EB9D">
        <w:rPr>
          <w:rFonts w:asciiTheme="minorHAnsi" w:hAnsiTheme="minorHAnsi" w:cstheme="minorBidi"/>
          <w:sz w:val="24"/>
          <w:szCs w:val="24"/>
        </w:rPr>
        <w:t xml:space="preserve">in 2024 </w:t>
      </w:r>
      <w:r w:rsidR="4B6F0267" w:rsidRPr="0693EB9D">
        <w:rPr>
          <w:rFonts w:asciiTheme="minorHAnsi" w:hAnsiTheme="minorHAnsi" w:cstheme="minorBidi"/>
          <w:sz w:val="24"/>
          <w:szCs w:val="24"/>
        </w:rPr>
        <w:t>“</w:t>
      </w:r>
      <w:hyperlink r:id="rId13">
        <w:r w:rsidR="4B6F0267" w:rsidRPr="0693EB9D">
          <w:rPr>
            <w:rStyle w:val="Hyperlink"/>
            <w:rFonts w:asciiTheme="minorHAnsi" w:hAnsiTheme="minorHAnsi" w:cstheme="minorBidi"/>
            <w:sz w:val="24"/>
            <w:szCs w:val="24"/>
          </w:rPr>
          <w:t>Transforming Texas: How Heat Pumps Can Replace Electric Resistance Heat, Reducing Costs and Winter Power Peaks</w:t>
        </w:r>
      </w:hyperlink>
      <w:r w:rsidR="4B6F0267" w:rsidRPr="0693EB9D">
        <w:rPr>
          <w:rFonts w:asciiTheme="minorHAnsi" w:hAnsiTheme="minorHAnsi" w:cstheme="minorBidi"/>
          <w:sz w:val="24"/>
          <w:szCs w:val="24"/>
        </w:rPr>
        <w:t xml:space="preserve">.” </w:t>
      </w:r>
      <w:r w:rsidR="7524DAE2" w:rsidRPr="0693EB9D">
        <w:rPr>
          <w:rFonts w:asciiTheme="minorHAnsi" w:hAnsiTheme="minorHAnsi" w:cstheme="minorBidi"/>
          <w:sz w:val="24"/>
          <w:szCs w:val="24"/>
        </w:rPr>
        <w:t xml:space="preserve">ACEEE also now maintains the </w:t>
      </w:r>
      <w:hyperlink r:id="rId14">
        <w:r w:rsidR="7524DAE2" w:rsidRPr="0693EB9D">
          <w:rPr>
            <w:rStyle w:val="Hyperlink"/>
            <w:rFonts w:asciiTheme="minorHAnsi" w:hAnsiTheme="minorHAnsi" w:cstheme="minorBidi"/>
            <w:sz w:val="24"/>
            <w:szCs w:val="24"/>
          </w:rPr>
          <w:t>Database of State Efficiency Screening Practices</w:t>
        </w:r>
      </w:hyperlink>
      <w:r w:rsidR="7524DAE2" w:rsidRPr="0693EB9D">
        <w:rPr>
          <w:rFonts w:asciiTheme="minorHAnsi" w:hAnsiTheme="minorHAnsi" w:cstheme="minorBidi"/>
          <w:sz w:val="24"/>
          <w:szCs w:val="24"/>
        </w:rPr>
        <w:t xml:space="preserve">, which provides comparative insight into cost benefit analysis factors identified in the PUCT’s current request for comments. </w:t>
      </w:r>
    </w:p>
    <w:p w14:paraId="6EB872DD" w14:textId="37371517" w:rsidR="00ED08B5" w:rsidRPr="00ED08B5" w:rsidRDefault="2629C9D6" w:rsidP="0693EB9D">
      <w:pPr>
        <w:spacing w:after="0"/>
        <w:rPr>
          <w:rFonts w:asciiTheme="minorHAnsi" w:hAnsiTheme="minorHAnsi" w:cstheme="minorBidi"/>
          <w:b/>
          <w:bCs/>
          <w:sz w:val="24"/>
          <w:szCs w:val="24"/>
        </w:rPr>
      </w:pPr>
      <w:r w:rsidRPr="0693EB9D">
        <w:rPr>
          <w:rFonts w:asciiTheme="minorHAnsi" w:hAnsiTheme="minorHAnsi" w:cstheme="minorBidi"/>
          <w:b/>
          <w:bCs/>
          <w:sz w:val="24"/>
          <w:szCs w:val="24"/>
        </w:rPr>
        <w:t>Low-Income Definition</w:t>
      </w:r>
    </w:p>
    <w:p w14:paraId="0297B35C" w14:textId="308CD767" w:rsidR="001658F9" w:rsidRDefault="66B271F5"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 xml:space="preserve">Commission Staff request feedback on the definition for </w:t>
      </w:r>
      <w:r w:rsidR="2629C9D6" w:rsidRPr="0693EB9D">
        <w:rPr>
          <w:rFonts w:asciiTheme="minorHAnsi" w:hAnsiTheme="minorHAnsi" w:cstheme="minorBidi"/>
          <w:sz w:val="24"/>
          <w:szCs w:val="24"/>
        </w:rPr>
        <w:t>low-income</w:t>
      </w:r>
      <w:r w:rsidRPr="0693EB9D">
        <w:rPr>
          <w:rFonts w:asciiTheme="minorHAnsi" w:hAnsiTheme="minorHAnsi" w:cstheme="minorBidi"/>
          <w:sz w:val="24"/>
          <w:szCs w:val="24"/>
        </w:rPr>
        <w:t xml:space="preserve"> customers. ACEEE supports the proposed language to shift from a definition of low</w:t>
      </w:r>
      <w:r w:rsidR="2772DFB1" w:rsidRPr="0693EB9D">
        <w:rPr>
          <w:rFonts w:asciiTheme="minorHAnsi" w:hAnsiTheme="minorHAnsi" w:cstheme="minorBidi"/>
          <w:sz w:val="24"/>
          <w:szCs w:val="24"/>
        </w:rPr>
        <w:t>-</w:t>
      </w:r>
      <w:r w:rsidRPr="0693EB9D">
        <w:rPr>
          <w:rFonts w:asciiTheme="minorHAnsi" w:hAnsiTheme="minorHAnsi" w:cstheme="minorBidi"/>
          <w:sz w:val="24"/>
          <w:szCs w:val="24"/>
        </w:rPr>
        <w:t>income that uses the federal poverty level indicator to one that is instead based on 80% of the calculated area median income</w:t>
      </w:r>
      <w:r w:rsidR="7DA01931" w:rsidRPr="0693EB9D">
        <w:rPr>
          <w:rFonts w:asciiTheme="minorHAnsi" w:hAnsiTheme="minorHAnsi" w:cstheme="minorBidi"/>
          <w:sz w:val="24"/>
          <w:szCs w:val="24"/>
        </w:rPr>
        <w:t xml:space="preserve"> (AMI)</w:t>
      </w:r>
      <w:r w:rsidRPr="0693EB9D">
        <w:rPr>
          <w:rFonts w:asciiTheme="minorHAnsi" w:hAnsiTheme="minorHAnsi" w:cstheme="minorBidi"/>
          <w:sz w:val="24"/>
          <w:szCs w:val="24"/>
        </w:rPr>
        <w:t xml:space="preserve">. This </w:t>
      </w:r>
      <w:r w:rsidR="7DA01931" w:rsidRPr="0693EB9D">
        <w:rPr>
          <w:rFonts w:asciiTheme="minorHAnsi" w:hAnsiTheme="minorHAnsi" w:cstheme="minorBidi"/>
          <w:sz w:val="24"/>
          <w:szCs w:val="24"/>
        </w:rPr>
        <w:t>approach will better reflect cost of living factors that significantly affect the financial means of households in different parts of the state</w:t>
      </w:r>
      <w:r w:rsidR="2772DFB1" w:rsidRPr="0693EB9D">
        <w:rPr>
          <w:rFonts w:asciiTheme="minorHAnsi" w:hAnsiTheme="minorHAnsi" w:cstheme="minorBidi"/>
          <w:sz w:val="24"/>
          <w:szCs w:val="24"/>
        </w:rPr>
        <w:t xml:space="preserve">. Doing so will also </w:t>
      </w:r>
      <w:r w:rsidR="7DA01931" w:rsidRPr="0693EB9D">
        <w:rPr>
          <w:rFonts w:asciiTheme="minorHAnsi" w:hAnsiTheme="minorHAnsi" w:cstheme="minorBidi"/>
          <w:sz w:val="24"/>
          <w:szCs w:val="24"/>
        </w:rPr>
        <w:t xml:space="preserve">enable more households to participate in the income qualified energy efficiency programs that are designed to support </w:t>
      </w:r>
      <w:r w:rsidR="7B746A5F" w:rsidRPr="0693EB9D">
        <w:rPr>
          <w:rFonts w:asciiTheme="minorHAnsi" w:hAnsiTheme="minorHAnsi" w:cstheme="minorBidi"/>
          <w:sz w:val="24"/>
          <w:szCs w:val="24"/>
        </w:rPr>
        <w:t>energy bill affordability</w:t>
      </w:r>
      <w:r w:rsidR="7DA01931" w:rsidRPr="0693EB9D">
        <w:rPr>
          <w:rFonts w:asciiTheme="minorHAnsi" w:hAnsiTheme="minorHAnsi" w:cstheme="minorBidi"/>
          <w:sz w:val="24"/>
          <w:szCs w:val="24"/>
        </w:rPr>
        <w:t xml:space="preserve">. It also better aligns with criteria used to establish eligibility for related programs and services, including the State Energy Conservation Office’s pending Home Energy Rebate programs. </w:t>
      </w:r>
    </w:p>
    <w:p w14:paraId="7767A100" w14:textId="77777777" w:rsidR="001658F9" w:rsidRDefault="001658F9" w:rsidP="004C4294">
      <w:pPr>
        <w:spacing w:after="0"/>
        <w:jc w:val="both"/>
        <w:rPr>
          <w:rFonts w:asciiTheme="minorHAnsi" w:hAnsiTheme="minorHAnsi" w:cstheme="minorHAnsi"/>
          <w:sz w:val="24"/>
          <w:szCs w:val="24"/>
        </w:rPr>
      </w:pPr>
    </w:p>
    <w:p w14:paraId="21F99E4D" w14:textId="5B41B541" w:rsidR="0034027E" w:rsidRDefault="7DA01931"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In addition to the 80% AMI threshold, ACEEE recommends that the PUCT also consider adding categorical eligibility for customers who meet the established income qualifying criteria for other programs and services designed to serve low-income households. While the specific list of programs and services used for categorical eligibility can be determined at a later time, and amended from time to time, these could include accepting in</w:t>
      </w:r>
      <w:r w:rsidR="6EEA7248" w:rsidRPr="0693EB9D">
        <w:rPr>
          <w:rFonts w:asciiTheme="minorHAnsi" w:hAnsiTheme="minorHAnsi" w:cstheme="minorBidi"/>
          <w:sz w:val="24"/>
          <w:szCs w:val="24"/>
        </w:rPr>
        <w:t xml:space="preserve">come verification by </w:t>
      </w:r>
      <w:r w:rsidRPr="0693EB9D">
        <w:rPr>
          <w:rFonts w:asciiTheme="minorHAnsi" w:hAnsiTheme="minorHAnsi" w:cstheme="minorBidi"/>
          <w:sz w:val="24"/>
          <w:szCs w:val="24"/>
        </w:rPr>
        <w:t xml:space="preserve">well-established </w:t>
      </w:r>
      <w:r w:rsidR="6EEA7248" w:rsidRPr="0693EB9D">
        <w:rPr>
          <w:rFonts w:asciiTheme="minorHAnsi" w:hAnsiTheme="minorHAnsi" w:cstheme="minorBidi"/>
          <w:sz w:val="24"/>
          <w:szCs w:val="24"/>
        </w:rPr>
        <w:t xml:space="preserve">entities providing services like </w:t>
      </w:r>
      <w:r w:rsidR="40945011" w:rsidRPr="0693EB9D">
        <w:rPr>
          <w:rFonts w:asciiTheme="minorHAnsi" w:hAnsiTheme="minorHAnsi" w:cstheme="minorBidi"/>
          <w:sz w:val="24"/>
          <w:szCs w:val="24"/>
        </w:rPr>
        <w:t xml:space="preserve">the Low Income Home Energy Assistance Program, </w:t>
      </w:r>
      <w:r w:rsidR="6EEA7248" w:rsidRPr="0693EB9D">
        <w:rPr>
          <w:rFonts w:asciiTheme="minorHAnsi" w:hAnsiTheme="minorHAnsi" w:cstheme="minorBidi"/>
          <w:sz w:val="24"/>
          <w:szCs w:val="24"/>
        </w:rPr>
        <w:t>Social Security Supplemental Security Income (SSI)</w:t>
      </w:r>
      <w:r w:rsidR="40945011" w:rsidRPr="0693EB9D">
        <w:rPr>
          <w:rFonts w:asciiTheme="minorHAnsi" w:hAnsiTheme="minorHAnsi" w:cstheme="minorBidi"/>
          <w:sz w:val="24"/>
          <w:szCs w:val="24"/>
        </w:rPr>
        <w:t>,</w:t>
      </w:r>
      <w:r w:rsidR="6EEA7248" w:rsidRPr="0693EB9D">
        <w:rPr>
          <w:rFonts w:asciiTheme="minorHAnsi" w:hAnsiTheme="minorHAnsi" w:cstheme="minorBidi"/>
          <w:sz w:val="24"/>
          <w:szCs w:val="24"/>
        </w:rPr>
        <w:t xml:space="preserve"> and the Unit</w:t>
      </w:r>
      <w:r w:rsidR="40945011" w:rsidRPr="0693EB9D">
        <w:rPr>
          <w:rFonts w:asciiTheme="minorHAnsi" w:hAnsiTheme="minorHAnsi" w:cstheme="minorBidi"/>
          <w:sz w:val="24"/>
          <w:szCs w:val="24"/>
        </w:rPr>
        <w:t>ed</w:t>
      </w:r>
      <w:r w:rsidR="6EEA7248" w:rsidRPr="0693EB9D">
        <w:rPr>
          <w:rFonts w:asciiTheme="minorHAnsi" w:hAnsiTheme="minorHAnsi" w:cstheme="minorBidi"/>
          <w:sz w:val="24"/>
          <w:szCs w:val="24"/>
        </w:rPr>
        <w:t xml:space="preserve"> States Department of Agriculture</w:t>
      </w:r>
      <w:r w:rsidR="40945011" w:rsidRPr="0693EB9D">
        <w:rPr>
          <w:rFonts w:asciiTheme="minorHAnsi" w:hAnsiTheme="minorHAnsi" w:cstheme="minorBidi"/>
          <w:sz w:val="24"/>
          <w:szCs w:val="24"/>
        </w:rPr>
        <w:t>’s</w:t>
      </w:r>
      <w:r w:rsidR="6EEA7248" w:rsidRPr="0693EB9D">
        <w:rPr>
          <w:rFonts w:asciiTheme="minorHAnsi" w:hAnsiTheme="minorHAnsi" w:cstheme="minorBidi"/>
          <w:sz w:val="24"/>
          <w:szCs w:val="24"/>
        </w:rPr>
        <w:t xml:space="preserve"> Supplemental Nutrition Assistance Program (SNAP). </w:t>
      </w:r>
      <w:r w:rsidR="7C0662CD" w:rsidRPr="0693EB9D">
        <w:rPr>
          <w:rFonts w:asciiTheme="minorHAnsi" w:hAnsiTheme="minorHAnsi" w:cstheme="minorBidi"/>
          <w:sz w:val="24"/>
          <w:szCs w:val="24"/>
        </w:rPr>
        <w:t>In 2023, DOE published a list of programs whose income eligibility criteria were compatible with application of the 80% AMI threshold</w:t>
      </w:r>
      <w:r w:rsidR="02CF23E7" w:rsidRPr="0693EB9D">
        <w:rPr>
          <w:rFonts w:asciiTheme="minorHAnsi" w:hAnsiTheme="minorHAnsi" w:cstheme="minorBidi"/>
          <w:sz w:val="24"/>
          <w:szCs w:val="24"/>
        </w:rPr>
        <w:t>,</w:t>
      </w:r>
      <w:r w:rsidR="008675C1" w:rsidRPr="0693EB9D">
        <w:rPr>
          <w:rStyle w:val="FootnoteReference"/>
          <w:rFonts w:asciiTheme="minorHAnsi" w:hAnsiTheme="minorHAnsi" w:cstheme="minorBidi"/>
          <w:sz w:val="24"/>
          <w:szCs w:val="24"/>
        </w:rPr>
        <w:footnoteReference w:id="2"/>
      </w:r>
      <w:r w:rsidR="02CF23E7" w:rsidRPr="0693EB9D">
        <w:rPr>
          <w:rFonts w:asciiTheme="minorHAnsi" w:hAnsiTheme="minorHAnsi" w:cstheme="minorBidi"/>
          <w:sz w:val="24"/>
          <w:szCs w:val="24"/>
        </w:rPr>
        <w:t xml:space="preserve"> which may be a useful resource for establishing categorical eligibility in Texas.</w:t>
      </w:r>
      <w:r w:rsidR="7C0662CD" w:rsidRPr="0693EB9D">
        <w:rPr>
          <w:rFonts w:asciiTheme="minorHAnsi" w:hAnsiTheme="minorHAnsi" w:cstheme="minorBidi"/>
          <w:sz w:val="24"/>
          <w:szCs w:val="24"/>
        </w:rPr>
        <w:t xml:space="preserve"> </w:t>
      </w:r>
      <w:r w:rsidR="40945011" w:rsidRPr="0693EB9D">
        <w:rPr>
          <w:rFonts w:asciiTheme="minorHAnsi" w:hAnsiTheme="minorHAnsi" w:cstheme="minorBidi"/>
          <w:sz w:val="24"/>
          <w:szCs w:val="24"/>
        </w:rPr>
        <w:t xml:space="preserve">Use of these existing income qualification systems </w:t>
      </w:r>
      <w:r w:rsidR="02CF23E7" w:rsidRPr="0693EB9D">
        <w:rPr>
          <w:rFonts w:asciiTheme="minorHAnsi" w:hAnsiTheme="minorHAnsi" w:cstheme="minorBidi"/>
          <w:sz w:val="24"/>
          <w:szCs w:val="24"/>
        </w:rPr>
        <w:t xml:space="preserve">has many benefits, including </w:t>
      </w:r>
      <w:r w:rsidR="40945011" w:rsidRPr="0693EB9D">
        <w:rPr>
          <w:rFonts w:asciiTheme="minorHAnsi" w:hAnsiTheme="minorHAnsi" w:cstheme="minorBidi"/>
          <w:sz w:val="24"/>
          <w:szCs w:val="24"/>
        </w:rPr>
        <w:t>eliminat</w:t>
      </w:r>
      <w:r w:rsidR="02CF23E7" w:rsidRPr="0693EB9D">
        <w:rPr>
          <w:rFonts w:asciiTheme="minorHAnsi" w:hAnsiTheme="minorHAnsi" w:cstheme="minorBidi"/>
          <w:sz w:val="24"/>
          <w:szCs w:val="24"/>
        </w:rPr>
        <w:t>ing</w:t>
      </w:r>
      <w:r w:rsidR="40945011" w:rsidRPr="0693EB9D">
        <w:rPr>
          <w:rFonts w:asciiTheme="minorHAnsi" w:hAnsiTheme="minorHAnsi" w:cstheme="minorBidi"/>
          <w:sz w:val="24"/>
          <w:szCs w:val="24"/>
        </w:rPr>
        <w:t xml:space="preserve"> time consuming and unnecessary application redundancy, increas</w:t>
      </w:r>
      <w:r w:rsidR="02CF23E7" w:rsidRPr="0693EB9D">
        <w:rPr>
          <w:rFonts w:asciiTheme="minorHAnsi" w:hAnsiTheme="minorHAnsi" w:cstheme="minorBidi"/>
          <w:sz w:val="24"/>
          <w:szCs w:val="24"/>
        </w:rPr>
        <w:t>ing</w:t>
      </w:r>
      <w:r w:rsidR="40945011" w:rsidRPr="0693EB9D">
        <w:rPr>
          <w:rFonts w:asciiTheme="minorHAnsi" w:hAnsiTheme="minorHAnsi" w:cstheme="minorBidi"/>
          <w:sz w:val="24"/>
          <w:szCs w:val="24"/>
        </w:rPr>
        <w:t xml:space="preserve"> access for eligible customers, and reduc</w:t>
      </w:r>
      <w:r w:rsidR="02CF23E7" w:rsidRPr="0693EB9D">
        <w:rPr>
          <w:rFonts w:asciiTheme="minorHAnsi" w:hAnsiTheme="minorHAnsi" w:cstheme="minorBidi"/>
          <w:sz w:val="24"/>
          <w:szCs w:val="24"/>
        </w:rPr>
        <w:t>ing</w:t>
      </w:r>
      <w:r w:rsidR="40945011" w:rsidRPr="0693EB9D">
        <w:rPr>
          <w:rFonts w:asciiTheme="minorHAnsi" w:hAnsiTheme="minorHAnsi" w:cstheme="minorBidi"/>
          <w:sz w:val="24"/>
          <w:szCs w:val="24"/>
        </w:rPr>
        <w:t xml:space="preserve"> administrative burden for utilities and program implementers. We recommend the PUCT </w:t>
      </w:r>
      <w:r w:rsidR="2629C9D6" w:rsidRPr="0693EB9D">
        <w:rPr>
          <w:rFonts w:asciiTheme="minorHAnsi" w:hAnsiTheme="minorHAnsi" w:cstheme="minorBidi"/>
          <w:sz w:val="24"/>
          <w:szCs w:val="24"/>
        </w:rPr>
        <w:t>add</w:t>
      </w:r>
      <w:r w:rsidR="40945011" w:rsidRPr="0693EB9D">
        <w:rPr>
          <w:rFonts w:asciiTheme="minorHAnsi" w:hAnsiTheme="minorHAnsi" w:cstheme="minorBidi"/>
          <w:sz w:val="24"/>
          <w:szCs w:val="24"/>
        </w:rPr>
        <w:t xml:space="preserve"> </w:t>
      </w:r>
      <w:r w:rsidR="2629C9D6" w:rsidRPr="0693EB9D">
        <w:rPr>
          <w:rFonts w:asciiTheme="minorHAnsi" w:hAnsiTheme="minorHAnsi" w:cstheme="minorBidi"/>
          <w:sz w:val="24"/>
          <w:szCs w:val="24"/>
        </w:rPr>
        <w:t xml:space="preserve">provision for categorical eligibility to its low-income definition and subsequently develop and maintain the list of specifically included programs whose income verification criteria are authorized for use with Texas utility low-income energy efficiency programs. </w:t>
      </w:r>
    </w:p>
    <w:p w14:paraId="2400D569" w14:textId="77777777" w:rsidR="00ED08B5" w:rsidRDefault="00ED08B5" w:rsidP="004C4294">
      <w:pPr>
        <w:spacing w:after="0"/>
        <w:jc w:val="both"/>
        <w:rPr>
          <w:rFonts w:asciiTheme="minorHAnsi" w:hAnsiTheme="minorHAnsi" w:cstheme="minorHAnsi"/>
          <w:sz w:val="24"/>
          <w:szCs w:val="24"/>
        </w:rPr>
      </w:pPr>
    </w:p>
    <w:p w14:paraId="7D9E2A1B" w14:textId="43AC3659" w:rsidR="00ED08B5" w:rsidRPr="00ED08B5" w:rsidRDefault="00ED08B5" w:rsidP="004C4294">
      <w:pPr>
        <w:spacing w:after="0"/>
        <w:jc w:val="both"/>
        <w:rPr>
          <w:rFonts w:asciiTheme="minorHAnsi" w:hAnsiTheme="minorHAnsi" w:cstheme="minorHAnsi"/>
          <w:b/>
          <w:bCs/>
          <w:sz w:val="24"/>
          <w:szCs w:val="24"/>
        </w:rPr>
      </w:pPr>
      <w:r w:rsidRPr="00ED08B5">
        <w:rPr>
          <w:rFonts w:asciiTheme="minorHAnsi" w:hAnsiTheme="minorHAnsi" w:cstheme="minorHAnsi"/>
          <w:b/>
          <w:bCs/>
          <w:sz w:val="24"/>
          <w:szCs w:val="24"/>
        </w:rPr>
        <w:t>Hard-to-Reach Definition:</w:t>
      </w:r>
    </w:p>
    <w:p w14:paraId="6B95D05E" w14:textId="6ED511C7" w:rsidR="00065C84" w:rsidRDefault="2629C9D6"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ACEEE</w:t>
      </w:r>
      <w:r w:rsidR="2772DFB1" w:rsidRPr="0693EB9D">
        <w:rPr>
          <w:rFonts w:asciiTheme="minorHAnsi" w:hAnsiTheme="minorHAnsi" w:cstheme="minorBidi"/>
          <w:sz w:val="24"/>
          <w:szCs w:val="24"/>
        </w:rPr>
        <w:t xml:space="preserve"> support</w:t>
      </w:r>
      <w:r w:rsidR="7C0662CD" w:rsidRPr="0693EB9D">
        <w:rPr>
          <w:rFonts w:asciiTheme="minorHAnsi" w:hAnsiTheme="minorHAnsi" w:cstheme="minorBidi"/>
          <w:sz w:val="24"/>
          <w:szCs w:val="24"/>
        </w:rPr>
        <w:t>s</w:t>
      </w:r>
      <w:r w:rsidR="2772DFB1" w:rsidRPr="0693EB9D">
        <w:rPr>
          <w:rFonts w:asciiTheme="minorHAnsi" w:hAnsiTheme="minorHAnsi" w:cstheme="minorBidi"/>
          <w:sz w:val="24"/>
          <w:szCs w:val="24"/>
        </w:rPr>
        <w:t xml:space="preserve"> PUCT Staff’s emphasis on serving </w:t>
      </w:r>
      <w:r w:rsidR="13772D0A" w:rsidRPr="0693EB9D">
        <w:rPr>
          <w:rFonts w:asciiTheme="minorHAnsi" w:hAnsiTheme="minorHAnsi" w:cstheme="minorBidi"/>
          <w:sz w:val="24"/>
          <w:szCs w:val="24"/>
        </w:rPr>
        <w:t>customers</w:t>
      </w:r>
      <w:r w:rsidR="2772DFB1" w:rsidRPr="0693EB9D">
        <w:rPr>
          <w:rFonts w:asciiTheme="minorHAnsi" w:hAnsiTheme="minorHAnsi" w:cstheme="minorBidi"/>
          <w:sz w:val="24"/>
          <w:szCs w:val="24"/>
        </w:rPr>
        <w:t xml:space="preserve"> in rural areas, and suggests addition</w:t>
      </w:r>
      <w:r w:rsidR="1967A4E1" w:rsidRPr="0693EB9D">
        <w:rPr>
          <w:rFonts w:asciiTheme="minorHAnsi" w:hAnsiTheme="minorHAnsi" w:cstheme="minorBidi"/>
          <w:sz w:val="24"/>
          <w:szCs w:val="24"/>
        </w:rPr>
        <w:t>al</w:t>
      </w:r>
      <w:r w:rsidR="2772DFB1" w:rsidRPr="0693EB9D">
        <w:rPr>
          <w:rFonts w:asciiTheme="minorHAnsi" w:hAnsiTheme="minorHAnsi" w:cstheme="minorBidi"/>
          <w:sz w:val="24"/>
          <w:szCs w:val="24"/>
        </w:rPr>
        <w:t xml:space="preserve"> consideration be given to other categories of hard-to-reach customers. Customers living in manufactured homes, multifamily housing, and renters should also be recognized as hard-to-reach and additional effort made to ensure they are able to </w:t>
      </w:r>
      <w:r w:rsidR="1967A4E1" w:rsidRPr="0693EB9D">
        <w:rPr>
          <w:rFonts w:asciiTheme="minorHAnsi" w:hAnsiTheme="minorHAnsi" w:cstheme="minorBidi"/>
          <w:sz w:val="24"/>
          <w:szCs w:val="24"/>
        </w:rPr>
        <w:t xml:space="preserve">effectively </w:t>
      </w:r>
      <w:r w:rsidR="2772DFB1" w:rsidRPr="0693EB9D">
        <w:rPr>
          <w:rFonts w:asciiTheme="minorHAnsi" w:hAnsiTheme="minorHAnsi" w:cstheme="minorBidi"/>
          <w:sz w:val="24"/>
          <w:szCs w:val="24"/>
        </w:rPr>
        <w:t>participate in Texas utility EE programs</w:t>
      </w:r>
      <w:r w:rsidR="7C0662CD" w:rsidRPr="0693EB9D">
        <w:rPr>
          <w:rFonts w:asciiTheme="minorHAnsi" w:hAnsiTheme="minorHAnsi" w:cstheme="minorBidi"/>
          <w:sz w:val="24"/>
          <w:szCs w:val="24"/>
        </w:rPr>
        <w:t>, as well as customers with language barriers</w:t>
      </w:r>
      <w:r w:rsidR="2772DFB1" w:rsidRPr="0693EB9D">
        <w:rPr>
          <w:rFonts w:asciiTheme="minorHAnsi" w:hAnsiTheme="minorHAnsi" w:cstheme="minorBidi"/>
          <w:sz w:val="24"/>
          <w:szCs w:val="24"/>
        </w:rPr>
        <w:t xml:space="preserve">. </w:t>
      </w:r>
      <w:r w:rsidR="7C0662CD" w:rsidRPr="0693EB9D">
        <w:rPr>
          <w:rFonts w:asciiTheme="minorHAnsi" w:hAnsiTheme="minorHAnsi" w:cstheme="minorBidi"/>
          <w:sz w:val="24"/>
          <w:szCs w:val="24"/>
        </w:rPr>
        <w:t xml:space="preserve">All customers pay </w:t>
      </w:r>
      <w:r w:rsidR="21C954F6" w:rsidRPr="0693EB9D">
        <w:rPr>
          <w:rFonts w:asciiTheme="minorHAnsi" w:hAnsiTheme="minorHAnsi" w:cstheme="minorBidi"/>
          <w:sz w:val="24"/>
          <w:szCs w:val="24"/>
        </w:rPr>
        <w:t>for</w:t>
      </w:r>
      <w:r w:rsidR="7C0662CD" w:rsidRPr="0693EB9D">
        <w:rPr>
          <w:rFonts w:asciiTheme="minorHAnsi" w:hAnsiTheme="minorHAnsi" w:cstheme="minorBidi"/>
          <w:sz w:val="24"/>
          <w:szCs w:val="24"/>
        </w:rPr>
        <w:t xml:space="preserve"> the utility administered energy efficiency programs, so program design and outreach should aim to ensure that all customers are able to access and benefit from the utility’s EE programs. </w:t>
      </w:r>
    </w:p>
    <w:p w14:paraId="37B9D23E" w14:textId="77777777" w:rsidR="00065C84" w:rsidRDefault="00065C84" w:rsidP="004C4294">
      <w:pPr>
        <w:spacing w:after="0"/>
        <w:jc w:val="both"/>
        <w:rPr>
          <w:rFonts w:asciiTheme="minorHAnsi" w:hAnsiTheme="minorHAnsi" w:cstheme="minorHAnsi"/>
          <w:sz w:val="24"/>
          <w:szCs w:val="24"/>
        </w:rPr>
      </w:pPr>
    </w:p>
    <w:p w14:paraId="62AD6FED" w14:textId="10A6187E" w:rsidR="00C436AD" w:rsidRDefault="00BF3FD2" w:rsidP="004C4294">
      <w:pPr>
        <w:spacing w:after="0"/>
        <w:jc w:val="both"/>
        <w:rPr>
          <w:rFonts w:asciiTheme="minorHAnsi" w:hAnsiTheme="minorHAnsi" w:cstheme="minorHAnsi"/>
          <w:sz w:val="24"/>
          <w:szCs w:val="24"/>
        </w:rPr>
      </w:pPr>
      <w:r w:rsidRPr="00BF3FD2">
        <w:rPr>
          <w:rFonts w:asciiTheme="minorHAnsi" w:hAnsiTheme="minorHAnsi" w:cstheme="minorHAnsi"/>
          <w:b/>
          <w:bCs/>
          <w:sz w:val="24"/>
          <w:szCs w:val="24"/>
        </w:rPr>
        <w:t>Calculating Cost-Effectiveness</w:t>
      </w:r>
      <w:r w:rsidR="004D39EB">
        <w:rPr>
          <w:rFonts w:asciiTheme="minorHAnsi" w:hAnsiTheme="minorHAnsi" w:cstheme="minorHAnsi"/>
          <w:b/>
          <w:bCs/>
          <w:sz w:val="24"/>
          <w:szCs w:val="24"/>
        </w:rPr>
        <w:t xml:space="preserve"> - Costs</w:t>
      </w:r>
      <w:r>
        <w:rPr>
          <w:rFonts w:asciiTheme="minorHAnsi" w:hAnsiTheme="minorHAnsi" w:cstheme="minorHAnsi"/>
          <w:b/>
          <w:bCs/>
          <w:sz w:val="24"/>
          <w:szCs w:val="24"/>
        </w:rPr>
        <w:t>:</w:t>
      </w:r>
    </w:p>
    <w:p w14:paraId="768DB043" w14:textId="6734261B" w:rsidR="00BF3FD2" w:rsidRDefault="18B1D2AB"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 xml:space="preserve">The Utility Cost Test </w:t>
      </w:r>
      <w:r w:rsidR="45C11392" w:rsidRPr="0693EB9D">
        <w:rPr>
          <w:rFonts w:asciiTheme="minorHAnsi" w:hAnsiTheme="minorHAnsi" w:cstheme="minorBidi"/>
          <w:sz w:val="24"/>
          <w:szCs w:val="24"/>
        </w:rPr>
        <w:t xml:space="preserve">(UCT) </w:t>
      </w:r>
      <w:r w:rsidRPr="0693EB9D">
        <w:rPr>
          <w:rFonts w:asciiTheme="minorHAnsi" w:hAnsiTheme="minorHAnsi" w:cstheme="minorBidi"/>
          <w:sz w:val="24"/>
          <w:szCs w:val="24"/>
        </w:rPr>
        <w:t>is intended to enable comparison between investments in EE and supply-side resources. For the test to properly evaluate which is more cost effective, multiple element</w:t>
      </w:r>
      <w:r w:rsidR="16F6C145" w:rsidRPr="0693EB9D">
        <w:rPr>
          <w:rFonts w:asciiTheme="minorHAnsi" w:hAnsiTheme="minorHAnsi" w:cstheme="minorBidi"/>
          <w:sz w:val="24"/>
          <w:szCs w:val="24"/>
        </w:rPr>
        <w:t>s</w:t>
      </w:r>
      <w:r w:rsidRPr="0693EB9D">
        <w:rPr>
          <w:rFonts w:asciiTheme="minorHAnsi" w:hAnsiTheme="minorHAnsi" w:cstheme="minorBidi"/>
          <w:sz w:val="24"/>
          <w:szCs w:val="24"/>
        </w:rPr>
        <w:t xml:space="preserve"> of energy efficiency cost and benefits must be </w:t>
      </w:r>
      <w:r w:rsidR="28F3383D" w:rsidRPr="0693EB9D">
        <w:rPr>
          <w:rFonts w:asciiTheme="minorHAnsi" w:hAnsiTheme="minorHAnsi" w:cstheme="minorBidi"/>
          <w:sz w:val="24"/>
          <w:szCs w:val="24"/>
        </w:rPr>
        <w:t>included,</w:t>
      </w:r>
      <w:r w:rsidRPr="0693EB9D">
        <w:rPr>
          <w:rFonts w:asciiTheme="minorHAnsi" w:hAnsiTheme="minorHAnsi" w:cstheme="minorBidi"/>
          <w:sz w:val="24"/>
          <w:szCs w:val="24"/>
        </w:rPr>
        <w:t xml:space="preserve"> and accurate inputs are needed for each element. </w:t>
      </w:r>
      <w:r w:rsidR="45C11392" w:rsidRPr="0693EB9D">
        <w:rPr>
          <w:rFonts w:asciiTheme="minorHAnsi" w:hAnsiTheme="minorHAnsi" w:cstheme="minorBidi"/>
          <w:sz w:val="24"/>
          <w:szCs w:val="24"/>
        </w:rPr>
        <w:t xml:space="preserve">The cost side of the equation should include only those factors that are </w:t>
      </w:r>
      <w:r w:rsidRPr="0693EB9D">
        <w:rPr>
          <w:rFonts w:asciiTheme="minorHAnsi" w:hAnsiTheme="minorHAnsi" w:cstheme="minorBidi"/>
          <w:sz w:val="24"/>
          <w:szCs w:val="24"/>
        </w:rPr>
        <w:t xml:space="preserve">paid </w:t>
      </w:r>
      <w:r w:rsidR="45C11392" w:rsidRPr="0693EB9D">
        <w:rPr>
          <w:rFonts w:asciiTheme="minorHAnsi" w:hAnsiTheme="minorHAnsi" w:cstheme="minorBidi"/>
          <w:sz w:val="24"/>
          <w:szCs w:val="24"/>
        </w:rPr>
        <w:t xml:space="preserve">for directly </w:t>
      </w:r>
      <w:r w:rsidRPr="0693EB9D">
        <w:rPr>
          <w:rFonts w:asciiTheme="minorHAnsi" w:hAnsiTheme="minorHAnsi" w:cstheme="minorBidi"/>
          <w:sz w:val="24"/>
          <w:szCs w:val="24"/>
        </w:rPr>
        <w:t>by the utility</w:t>
      </w:r>
      <w:r w:rsidR="45C11392" w:rsidRPr="0693EB9D">
        <w:rPr>
          <w:rFonts w:asciiTheme="minorHAnsi" w:hAnsiTheme="minorHAnsi" w:cstheme="minorBidi"/>
          <w:sz w:val="24"/>
          <w:szCs w:val="24"/>
        </w:rPr>
        <w:t xml:space="preserve"> in the course of delivering the EE programs, such as</w:t>
      </w:r>
      <w:r w:rsidRPr="0693EB9D">
        <w:rPr>
          <w:rFonts w:asciiTheme="minorHAnsi" w:hAnsiTheme="minorHAnsi" w:cstheme="minorBidi"/>
          <w:sz w:val="24"/>
          <w:szCs w:val="24"/>
        </w:rPr>
        <w:t xml:space="preserve"> incentive payments </w:t>
      </w:r>
      <w:r w:rsidR="7000832C" w:rsidRPr="0693EB9D">
        <w:rPr>
          <w:rFonts w:asciiTheme="minorHAnsi" w:hAnsiTheme="minorHAnsi" w:cstheme="minorBidi"/>
          <w:sz w:val="24"/>
          <w:szCs w:val="24"/>
        </w:rPr>
        <w:t xml:space="preserve">to customers and trade allies </w:t>
      </w:r>
      <w:r w:rsidRPr="0693EB9D">
        <w:rPr>
          <w:rFonts w:asciiTheme="minorHAnsi" w:hAnsiTheme="minorHAnsi" w:cstheme="minorBidi"/>
          <w:sz w:val="24"/>
          <w:szCs w:val="24"/>
        </w:rPr>
        <w:t>and prudently incurred costs associated with running the programs</w:t>
      </w:r>
      <w:r w:rsidR="7000832C" w:rsidRPr="0693EB9D">
        <w:rPr>
          <w:rFonts w:asciiTheme="minorHAnsi" w:hAnsiTheme="minorHAnsi" w:cstheme="minorBidi"/>
          <w:sz w:val="24"/>
          <w:szCs w:val="24"/>
        </w:rPr>
        <w:t xml:space="preserve"> (for example </w:t>
      </w:r>
      <w:r w:rsidR="45C11392" w:rsidRPr="0693EB9D">
        <w:rPr>
          <w:rFonts w:asciiTheme="minorHAnsi" w:hAnsiTheme="minorHAnsi" w:cstheme="minorBidi"/>
          <w:sz w:val="24"/>
          <w:szCs w:val="24"/>
        </w:rPr>
        <w:t xml:space="preserve">the cost of </w:t>
      </w:r>
      <w:r w:rsidR="7000832C" w:rsidRPr="0693EB9D">
        <w:rPr>
          <w:rFonts w:asciiTheme="minorHAnsi" w:hAnsiTheme="minorHAnsi" w:cstheme="minorBidi"/>
          <w:sz w:val="24"/>
          <w:szCs w:val="24"/>
        </w:rPr>
        <w:t>administ</w:t>
      </w:r>
      <w:r w:rsidR="45C11392" w:rsidRPr="0693EB9D">
        <w:rPr>
          <w:rFonts w:asciiTheme="minorHAnsi" w:hAnsiTheme="minorHAnsi" w:cstheme="minorBidi"/>
          <w:sz w:val="24"/>
          <w:szCs w:val="24"/>
        </w:rPr>
        <w:t>ering</w:t>
      </w:r>
      <w:r w:rsidR="7000832C" w:rsidRPr="0693EB9D">
        <w:rPr>
          <w:rFonts w:asciiTheme="minorHAnsi" w:hAnsiTheme="minorHAnsi" w:cstheme="minorBidi"/>
          <w:sz w:val="24"/>
          <w:szCs w:val="24"/>
        </w:rPr>
        <w:t xml:space="preserve"> rebates, marketing expenses, and quality control). While practices vary, 29 states do not include shareholder incentives in EE cost benefit analysis.</w:t>
      </w:r>
      <w:r w:rsidR="004D39EB" w:rsidRPr="0693EB9D">
        <w:rPr>
          <w:rStyle w:val="FootnoteReference"/>
          <w:rFonts w:asciiTheme="minorHAnsi" w:hAnsiTheme="minorHAnsi" w:cstheme="minorBidi"/>
          <w:sz w:val="24"/>
          <w:szCs w:val="24"/>
        </w:rPr>
        <w:footnoteReference w:id="3"/>
      </w:r>
      <w:r w:rsidR="7000832C" w:rsidRPr="0693EB9D">
        <w:rPr>
          <w:rFonts w:asciiTheme="minorHAnsi" w:hAnsiTheme="minorHAnsi" w:cstheme="minorBidi"/>
          <w:sz w:val="24"/>
          <w:szCs w:val="24"/>
        </w:rPr>
        <w:t xml:space="preserve"> Shareholder incentives for EE programs should only be included as a cost in EE cost benefit analysis if the supply-side costs similarly account for shareholder earnings when determining the avoided cost against which EE is being evaluated. If the avoided cost methodology used to determine whether EE passes cost effectiveness does not </w:t>
      </w:r>
      <w:r w:rsidR="45C11392" w:rsidRPr="0693EB9D">
        <w:rPr>
          <w:rFonts w:asciiTheme="minorHAnsi" w:hAnsiTheme="minorHAnsi" w:cstheme="minorBidi"/>
          <w:sz w:val="24"/>
          <w:szCs w:val="24"/>
        </w:rPr>
        <w:t xml:space="preserve">account for avoided </w:t>
      </w:r>
      <w:r w:rsidR="7000832C" w:rsidRPr="0693EB9D">
        <w:rPr>
          <w:rFonts w:asciiTheme="minorHAnsi" w:hAnsiTheme="minorHAnsi" w:cstheme="minorBidi"/>
          <w:sz w:val="24"/>
          <w:szCs w:val="24"/>
        </w:rPr>
        <w:t xml:space="preserve">supply-side shareholder earnings, then shareholder incentives for EE programs should not be included in calculating cost effectiveness or energy efficiency. </w:t>
      </w:r>
    </w:p>
    <w:p w14:paraId="611D1B20" w14:textId="77777777" w:rsidR="004D39EB" w:rsidRDefault="004D39EB" w:rsidP="004C4294">
      <w:pPr>
        <w:spacing w:after="0"/>
        <w:jc w:val="both"/>
        <w:rPr>
          <w:rFonts w:asciiTheme="minorHAnsi" w:hAnsiTheme="minorHAnsi" w:cstheme="minorHAnsi"/>
          <w:sz w:val="24"/>
          <w:szCs w:val="24"/>
        </w:rPr>
      </w:pPr>
    </w:p>
    <w:p w14:paraId="19F0C5F8" w14:textId="569D2573" w:rsidR="004D39EB" w:rsidRDefault="004D39EB" w:rsidP="004D39EB">
      <w:pPr>
        <w:spacing w:after="0"/>
        <w:jc w:val="both"/>
        <w:rPr>
          <w:rFonts w:asciiTheme="minorHAnsi" w:hAnsiTheme="minorHAnsi" w:cstheme="minorHAnsi"/>
          <w:sz w:val="24"/>
          <w:szCs w:val="24"/>
        </w:rPr>
      </w:pPr>
      <w:r w:rsidRPr="00BF3FD2">
        <w:rPr>
          <w:rFonts w:asciiTheme="minorHAnsi" w:hAnsiTheme="minorHAnsi" w:cstheme="minorHAnsi"/>
          <w:b/>
          <w:bCs/>
          <w:sz w:val="24"/>
          <w:szCs w:val="24"/>
        </w:rPr>
        <w:t>Calculating Cost-Effectiveness</w:t>
      </w:r>
      <w:r>
        <w:rPr>
          <w:rFonts w:asciiTheme="minorHAnsi" w:hAnsiTheme="minorHAnsi" w:cstheme="minorHAnsi"/>
          <w:b/>
          <w:bCs/>
          <w:sz w:val="24"/>
          <w:szCs w:val="24"/>
        </w:rPr>
        <w:t xml:space="preserve"> - Benefits:</w:t>
      </w:r>
    </w:p>
    <w:p w14:paraId="7E493542" w14:textId="77777777" w:rsidR="00801542" w:rsidRDefault="004D39EB" w:rsidP="004C4294">
      <w:pPr>
        <w:spacing w:after="0"/>
        <w:jc w:val="both"/>
        <w:rPr>
          <w:rFonts w:asciiTheme="minorHAnsi" w:hAnsiTheme="minorHAnsi" w:cstheme="minorHAnsi"/>
          <w:sz w:val="24"/>
          <w:szCs w:val="24"/>
        </w:rPr>
      </w:pPr>
      <w:r>
        <w:rPr>
          <w:rFonts w:asciiTheme="minorHAnsi" w:hAnsiTheme="minorHAnsi" w:cstheme="minorHAnsi"/>
          <w:sz w:val="24"/>
          <w:szCs w:val="24"/>
        </w:rPr>
        <w:t>All utility system benefits should be factored into UCT calculations, but at present Texas is not including several important benefits categories.</w:t>
      </w:r>
      <w:r w:rsidR="008B02A7">
        <w:rPr>
          <w:rFonts w:asciiTheme="minorHAnsi" w:hAnsiTheme="minorHAnsi" w:cstheme="minorHAnsi"/>
          <w:sz w:val="24"/>
          <w:szCs w:val="24"/>
        </w:rPr>
        <w:t xml:space="preserve"> </w:t>
      </w:r>
    </w:p>
    <w:p w14:paraId="16B2C911" w14:textId="77777777" w:rsidR="00801542" w:rsidRDefault="00801542" w:rsidP="004C4294">
      <w:pPr>
        <w:spacing w:after="0"/>
        <w:jc w:val="both"/>
        <w:rPr>
          <w:rFonts w:asciiTheme="minorHAnsi" w:hAnsiTheme="minorHAnsi" w:cstheme="minorHAnsi"/>
          <w:sz w:val="24"/>
          <w:szCs w:val="24"/>
        </w:rPr>
      </w:pPr>
    </w:p>
    <w:p w14:paraId="7D04D2DC" w14:textId="0E282063" w:rsidR="00801542" w:rsidRDefault="00801542" w:rsidP="004C4294">
      <w:pPr>
        <w:spacing w:after="0"/>
        <w:jc w:val="both"/>
        <w:rPr>
          <w:rFonts w:asciiTheme="minorHAnsi" w:hAnsiTheme="minorHAnsi" w:cstheme="minorHAnsi"/>
          <w:sz w:val="24"/>
          <w:szCs w:val="24"/>
        </w:rPr>
      </w:pPr>
      <w:r>
        <w:rPr>
          <w:rFonts w:asciiTheme="minorHAnsi" w:hAnsiTheme="minorHAnsi" w:cstheme="minorHAnsi"/>
          <w:sz w:val="24"/>
          <w:szCs w:val="24"/>
        </w:rPr>
        <w:t>Transmission &amp; Distribution (T&amp;D)</w:t>
      </w:r>
    </w:p>
    <w:p w14:paraId="2E8B3994" w14:textId="6523A389" w:rsidR="00801542" w:rsidRDefault="008B02A7" w:rsidP="004C4294">
      <w:pPr>
        <w:spacing w:after="0"/>
        <w:jc w:val="both"/>
        <w:rPr>
          <w:rFonts w:asciiTheme="minorHAnsi" w:hAnsiTheme="minorHAnsi" w:cstheme="minorHAnsi"/>
          <w:sz w:val="24"/>
          <w:szCs w:val="24"/>
        </w:rPr>
      </w:pPr>
      <w:r>
        <w:rPr>
          <w:rFonts w:asciiTheme="minorHAnsi" w:hAnsiTheme="minorHAnsi" w:cstheme="minorHAnsi"/>
          <w:sz w:val="24"/>
          <w:szCs w:val="24"/>
        </w:rPr>
        <w:t xml:space="preserve">Texas </w:t>
      </w:r>
      <w:r w:rsidR="00801542">
        <w:rPr>
          <w:rFonts w:asciiTheme="minorHAnsi" w:hAnsiTheme="minorHAnsi" w:cstheme="minorHAnsi"/>
          <w:sz w:val="24"/>
          <w:szCs w:val="24"/>
        </w:rPr>
        <w:t>considers</w:t>
      </w:r>
      <w:r>
        <w:rPr>
          <w:rFonts w:asciiTheme="minorHAnsi" w:hAnsiTheme="minorHAnsi" w:cstheme="minorHAnsi"/>
          <w:sz w:val="24"/>
          <w:szCs w:val="24"/>
        </w:rPr>
        <w:t xml:space="preserve"> avoided marginal energy and generating capacity costs, but it does not include avoided transmission and distribution</w:t>
      </w:r>
      <w:r w:rsidR="00801542">
        <w:rPr>
          <w:rFonts w:asciiTheme="minorHAnsi" w:hAnsiTheme="minorHAnsi" w:cstheme="minorHAnsi"/>
          <w:sz w:val="24"/>
          <w:szCs w:val="24"/>
        </w:rPr>
        <w:t xml:space="preserve"> costs </w:t>
      </w:r>
      <w:r>
        <w:rPr>
          <w:rFonts w:asciiTheme="minorHAnsi" w:hAnsiTheme="minorHAnsi" w:cstheme="minorHAnsi"/>
          <w:sz w:val="24"/>
          <w:szCs w:val="24"/>
        </w:rPr>
        <w:t xml:space="preserve">or line losses. </w:t>
      </w:r>
      <w:r w:rsidR="007C5CE1">
        <w:rPr>
          <w:rFonts w:asciiTheme="minorHAnsi" w:hAnsiTheme="minorHAnsi" w:cstheme="minorHAnsi"/>
          <w:sz w:val="24"/>
          <w:szCs w:val="24"/>
        </w:rPr>
        <w:t>According to the Database of State Efficiency Screening Practices, the vast majority of states (40) include avoided transmission and distribution costs as a utility system benefit for purposes of cost benefit analysis and nearly every one of these also includes the value of avoided line losses.</w:t>
      </w:r>
      <w:r w:rsidR="007C5CE1">
        <w:rPr>
          <w:rStyle w:val="FootnoteReference"/>
          <w:rFonts w:asciiTheme="minorHAnsi" w:hAnsiTheme="minorHAnsi" w:cstheme="minorHAnsi"/>
          <w:sz w:val="24"/>
          <w:szCs w:val="24"/>
        </w:rPr>
        <w:footnoteReference w:id="4"/>
      </w:r>
      <w:r w:rsidR="007C5CE1">
        <w:rPr>
          <w:rFonts w:asciiTheme="minorHAnsi" w:hAnsiTheme="minorHAnsi" w:cstheme="minorHAnsi"/>
          <w:sz w:val="24"/>
          <w:szCs w:val="24"/>
        </w:rPr>
        <w:t xml:space="preserve"> Generally speaking, the outliers who do not include T+D and line loss benefits have far less developed energy efficiency policies and lower savings performance overall.</w:t>
      </w:r>
      <w:r w:rsidR="00586EFE">
        <w:rPr>
          <w:rStyle w:val="FootnoteReference"/>
          <w:rFonts w:asciiTheme="minorHAnsi" w:hAnsiTheme="minorHAnsi" w:cstheme="minorHAnsi"/>
          <w:sz w:val="24"/>
          <w:szCs w:val="24"/>
        </w:rPr>
        <w:footnoteReference w:id="5"/>
      </w:r>
      <w:r w:rsidR="007C5CE1">
        <w:rPr>
          <w:rFonts w:asciiTheme="minorHAnsi" w:hAnsiTheme="minorHAnsi" w:cstheme="minorHAnsi"/>
          <w:sz w:val="24"/>
          <w:szCs w:val="24"/>
        </w:rPr>
        <w:t xml:space="preserve"> </w:t>
      </w:r>
      <w:r w:rsidR="00801542">
        <w:rPr>
          <w:rFonts w:asciiTheme="minorHAnsi" w:hAnsiTheme="minorHAnsi" w:cstheme="minorHAnsi"/>
          <w:sz w:val="24"/>
          <w:szCs w:val="24"/>
        </w:rPr>
        <w:t xml:space="preserve">We recommend that Texas add avoided T&amp;D costs and line losses as utility system benefits when evaluating EE cost effectiveness. </w:t>
      </w:r>
    </w:p>
    <w:p w14:paraId="03696DB6" w14:textId="77777777" w:rsidR="00801542" w:rsidRDefault="00801542" w:rsidP="004C4294">
      <w:pPr>
        <w:spacing w:after="0"/>
        <w:jc w:val="both"/>
        <w:rPr>
          <w:rFonts w:asciiTheme="minorHAnsi" w:hAnsiTheme="minorHAnsi" w:cstheme="minorHAnsi"/>
          <w:sz w:val="24"/>
          <w:szCs w:val="24"/>
        </w:rPr>
      </w:pPr>
    </w:p>
    <w:p w14:paraId="3E126090" w14:textId="3F53D21B" w:rsidR="00801542" w:rsidRDefault="00801542" w:rsidP="004C4294">
      <w:pPr>
        <w:spacing w:after="0"/>
        <w:jc w:val="both"/>
        <w:rPr>
          <w:rFonts w:asciiTheme="minorHAnsi" w:hAnsiTheme="minorHAnsi" w:cstheme="minorHAnsi"/>
          <w:sz w:val="24"/>
          <w:szCs w:val="24"/>
        </w:rPr>
      </w:pPr>
      <w:r>
        <w:rPr>
          <w:rFonts w:asciiTheme="minorHAnsi" w:hAnsiTheme="minorHAnsi" w:cstheme="minorHAnsi"/>
          <w:sz w:val="24"/>
          <w:szCs w:val="24"/>
        </w:rPr>
        <w:t>Avoided Cost</w:t>
      </w:r>
    </w:p>
    <w:p w14:paraId="550EFD9A" w14:textId="6861AE0A" w:rsidR="00586EFE" w:rsidRDefault="56017003"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 xml:space="preserve">The value of avoided costs varies by time and location, sometimes to a very large degree. Accordingly, the value of </w:t>
      </w:r>
      <w:r w:rsidR="1532B08A" w:rsidRPr="0693EB9D">
        <w:rPr>
          <w:rFonts w:asciiTheme="minorHAnsi" w:hAnsiTheme="minorHAnsi" w:cstheme="minorBidi"/>
          <w:sz w:val="24"/>
          <w:szCs w:val="24"/>
        </w:rPr>
        <w:t>avoided energy costs</w:t>
      </w:r>
      <w:r w:rsidRPr="0693EB9D">
        <w:rPr>
          <w:rFonts w:asciiTheme="minorHAnsi" w:hAnsiTheme="minorHAnsi" w:cstheme="minorBidi"/>
          <w:sz w:val="24"/>
          <w:szCs w:val="24"/>
        </w:rPr>
        <w:t xml:space="preserve"> </w:t>
      </w:r>
      <w:r w:rsidR="1532B08A" w:rsidRPr="0693EB9D">
        <w:rPr>
          <w:rFonts w:asciiTheme="minorHAnsi" w:hAnsiTheme="minorHAnsi" w:cstheme="minorBidi"/>
          <w:sz w:val="24"/>
          <w:szCs w:val="24"/>
        </w:rPr>
        <w:t xml:space="preserve">from efficiency </w:t>
      </w:r>
      <w:r w:rsidRPr="0693EB9D">
        <w:rPr>
          <w:rFonts w:asciiTheme="minorHAnsi" w:hAnsiTheme="minorHAnsi" w:cstheme="minorBidi"/>
          <w:sz w:val="24"/>
          <w:szCs w:val="24"/>
        </w:rPr>
        <w:t xml:space="preserve">should reflect the time and location </w:t>
      </w:r>
      <w:r w:rsidR="1532B08A" w:rsidRPr="0693EB9D">
        <w:rPr>
          <w:rFonts w:asciiTheme="minorHAnsi" w:hAnsiTheme="minorHAnsi" w:cstheme="minorBidi"/>
          <w:sz w:val="24"/>
          <w:szCs w:val="24"/>
        </w:rPr>
        <w:t xml:space="preserve">of the savings achieved. Texas energy markets already include location and time-based cost accounting on the supply side, and these values should be reflected in the avoided cost used to screen energy efficiency. But current practice in Texas uses average values that </w:t>
      </w:r>
      <w:r w:rsidR="64480B64" w:rsidRPr="0693EB9D">
        <w:rPr>
          <w:rFonts w:asciiTheme="minorHAnsi" w:hAnsiTheme="minorHAnsi" w:cstheme="minorBidi"/>
          <w:sz w:val="24"/>
          <w:szCs w:val="24"/>
        </w:rPr>
        <w:t xml:space="preserve">often </w:t>
      </w:r>
      <w:r w:rsidR="1532B08A" w:rsidRPr="0693EB9D">
        <w:rPr>
          <w:rFonts w:asciiTheme="minorHAnsi" w:hAnsiTheme="minorHAnsi" w:cstheme="minorBidi"/>
          <w:sz w:val="24"/>
          <w:szCs w:val="24"/>
        </w:rPr>
        <w:t xml:space="preserve">underestimate the true value cost from efficiency savings. Changing from average values to an approach that incorporates a greater degree of time and location </w:t>
      </w:r>
      <w:r w:rsidR="4611AB45" w:rsidRPr="0693EB9D">
        <w:rPr>
          <w:rFonts w:asciiTheme="minorHAnsi" w:hAnsiTheme="minorHAnsi" w:cstheme="minorBidi"/>
          <w:sz w:val="24"/>
          <w:szCs w:val="24"/>
        </w:rPr>
        <w:t>granularity</w:t>
      </w:r>
      <w:r w:rsidR="1532B08A" w:rsidRPr="0693EB9D">
        <w:rPr>
          <w:rFonts w:asciiTheme="minorHAnsi" w:hAnsiTheme="minorHAnsi" w:cstheme="minorBidi"/>
          <w:sz w:val="24"/>
          <w:szCs w:val="24"/>
        </w:rPr>
        <w:t xml:space="preserve"> will better reflect the value of energy savings and improve the accuracy of cost effectiveness testing. Furthermore, all supply side capacity costs (including ratepayer-funded subsidies for power generation) should be included when determining avoided capacity benefits. </w:t>
      </w:r>
      <w:r w:rsidR="4611AB45" w:rsidRPr="0693EB9D">
        <w:rPr>
          <w:rFonts w:asciiTheme="minorHAnsi" w:hAnsiTheme="minorHAnsi" w:cstheme="minorBidi"/>
          <w:sz w:val="24"/>
          <w:szCs w:val="24"/>
        </w:rPr>
        <w:t xml:space="preserve">The technical details can be worked out separately, but the revised PUCT EE rules should specify that the evaluation of energy efficiency cost and benefits should be symmetrical with the supply-side costs and benefits it is being compared to. If the avoided cost values do not properly and fully reflect avoided supply side costs, it will lead to underinvestment in otherwise </w:t>
      </w:r>
      <w:r w:rsidR="5F710F71" w:rsidRPr="0693EB9D">
        <w:rPr>
          <w:rFonts w:asciiTheme="minorHAnsi" w:hAnsiTheme="minorHAnsi" w:cstheme="minorBidi"/>
          <w:sz w:val="24"/>
          <w:szCs w:val="24"/>
        </w:rPr>
        <w:t>cost-effective</w:t>
      </w:r>
      <w:r w:rsidR="4611AB45" w:rsidRPr="0693EB9D">
        <w:rPr>
          <w:rFonts w:asciiTheme="minorHAnsi" w:hAnsiTheme="minorHAnsi" w:cstheme="minorBidi"/>
          <w:sz w:val="24"/>
          <w:szCs w:val="24"/>
        </w:rPr>
        <w:t xml:space="preserve"> energy efficiency resources</w:t>
      </w:r>
      <w:r w:rsidR="6A6D4FBC" w:rsidRPr="0693EB9D">
        <w:rPr>
          <w:rFonts w:asciiTheme="minorHAnsi" w:hAnsiTheme="minorHAnsi" w:cstheme="minorBidi"/>
          <w:sz w:val="24"/>
          <w:szCs w:val="24"/>
        </w:rPr>
        <w:t xml:space="preserve"> leading to higher costs for the utility system and a whole, which all customers pay for. Revising the methods used for determining avoided cost is likely the most important and impactful change the PUCT can make to its energy efficiency rules, and the one that will ultimately lead to the greatest cost reductions for customers going forward. </w:t>
      </w:r>
    </w:p>
    <w:p w14:paraId="67EB3A96" w14:textId="77777777" w:rsidR="00586EFE" w:rsidRDefault="00586EFE" w:rsidP="0693EB9D">
      <w:pPr>
        <w:spacing w:after="0"/>
        <w:jc w:val="both"/>
        <w:rPr>
          <w:rFonts w:asciiTheme="minorHAnsi" w:hAnsiTheme="minorHAnsi" w:cstheme="minorBidi"/>
          <w:sz w:val="24"/>
          <w:szCs w:val="24"/>
        </w:rPr>
      </w:pPr>
    </w:p>
    <w:p w14:paraId="000D280E" w14:textId="34395E11" w:rsidR="0693EB9D" w:rsidRDefault="0693EB9D" w:rsidP="0693EB9D">
      <w:pPr>
        <w:spacing w:after="0"/>
        <w:jc w:val="both"/>
        <w:rPr>
          <w:rFonts w:asciiTheme="minorHAnsi" w:hAnsiTheme="minorHAnsi" w:cstheme="minorBidi"/>
          <w:sz w:val="24"/>
          <w:szCs w:val="24"/>
        </w:rPr>
      </w:pPr>
    </w:p>
    <w:p w14:paraId="0B2E4659" w14:textId="094D884C" w:rsidR="00586EFE" w:rsidRDefault="00586EFE" w:rsidP="004C4294">
      <w:pPr>
        <w:spacing w:after="0"/>
        <w:jc w:val="both"/>
        <w:rPr>
          <w:rFonts w:asciiTheme="minorHAnsi" w:hAnsiTheme="minorHAnsi" w:cstheme="minorHAnsi"/>
          <w:sz w:val="24"/>
          <w:szCs w:val="24"/>
        </w:rPr>
      </w:pPr>
      <w:r>
        <w:rPr>
          <w:rFonts w:asciiTheme="minorHAnsi" w:hAnsiTheme="minorHAnsi" w:cstheme="minorHAnsi"/>
          <w:sz w:val="24"/>
          <w:szCs w:val="24"/>
        </w:rPr>
        <w:t>Resilience</w:t>
      </w:r>
    </w:p>
    <w:p w14:paraId="5038911A" w14:textId="17DB5B45" w:rsidR="00227F31" w:rsidRDefault="6A6D4FBC"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The financial costs and consequences of Winter Story Uri have been well documented and are relevant for considerations of energy efficiency cost benefit analysis. At the household level, homes that have been made energy efficient will be better able to maintain comfort during extreme weather events</w:t>
      </w:r>
      <w:r w:rsidR="624A2473" w:rsidRPr="0693EB9D">
        <w:rPr>
          <w:rFonts w:asciiTheme="minorHAnsi" w:hAnsiTheme="minorHAnsi" w:cstheme="minorBidi"/>
          <w:sz w:val="24"/>
          <w:szCs w:val="24"/>
        </w:rPr>
        <w:t>, leading to reduced mortality</w:t>
      </w:r>
      <w:r w:rsidR="37D62C49" w:rsidRPr="0693EB9D">
        <w:rPr>
          <w:rFonts w:asciiTheme="minorHAnsi" w:hAnsiTheme="minorHAnsi" w:cstheme="minorBidi"/>
          <w:sz w:val="24"/>
          <w:szCs w:val="24"/>
        </w:rPr>
        <w:t>, fewer frozen pipes,</w:t>
      </w:r>
      <w:r w:rsidR="624A2473" w:rsidRPr="0693EB9D">
        <w:rPr>
          <w:rFonts w:asciiTheme="minorHAnsi" w:hAnsiTheme="minorHAnsi" w:cstheme="minorBidi"/>
          <w:sz w:val="24"/>
          <w:szCs w:val="24"/>
        </w:rPr>
        <w:t xml:space="preserve"> and avoiding the financially catastrophic effects of related energy bill spikes. Texas has committed to hardening its utility grid to avoid weather-related </w:t>
      </w:r>
      <w:r w:rsidR="090FC746" w:rsidRPr="0693EB9D">
        <w:rPr>
          <w:rFonts w:asciiTheme="minorHAnsi" w:hAnsiTheme="minorHAnsi" w:cstheme="minorBidi"/>
          <w:sz w:val="24"/>
          <w:szCs w:val="24"/>
        </w:rPr>
        <w:t>blackouts</w:t>
      </w:r>
      <w:r w:rsidR="624A2473" w:rsidRPr="0693EB9D">
        <w:rPr>
          <w:rFonts w:asciiTheme="minorHAnsi" w:hAnsiTheme="minorHAnsi" w:cstheme="minorBidi"/>
          <w:sz w:val="24"/>
          <w:szCs w:val="24"/>
        </w:rPr>
        <w:t xml:space="preserve">. Investing in cost-effective energy efficiency will accelerate progress towards this goal while lowering the cost of achieving it. While the details can be worked through at a subsequent stage of the PUCT EE rulemaking process, reduced costs of grid hardening should be included, as should reduction in the likelihood and severity of costs from future extreme weather events (such as the securitized costs being paid by Texas customers now for Winter Storm Uri). </w:t>
      </w:r>
    </w:p>
    <w:p w14:paraId="5A9682D9" w14:textId="77777777" w:rsidR="00227F31" w:rsidRDefault="00227F31" w:rsidP="004C4294">
      <w:pPr>
        <w:spacing w:after="0"/>
        <w:jc w:val="both"/>
        <w:rPr>
          <w:rFonts w:asciiTheme="minorHAnsi" w:hAnsiTheme="minorHAnsi" w:cstheme="minorHAnsi"/>
          <w:sz w:val="24"/>
          <w:szCs w:val="24"/>
        </w:rPr>
      </w:pPr>
    </w:p>
    <w:p w14:paraId="0DFC0FA4" w14:textId="44266FDA" w:rsidR="004D39EB" w:rsidRPr="00BF3FD2" w:rsidRDefault="624A2473" w:rsidP="0693EB9D">
      <w:pPr>
        <w:spacing w:after="0"/>
        <w:jc w:val="both"/>
        <w:rPr>
          <w:rFonts w:asciiTheme="minorHAnsi" w:hAnsiTheme="minorHAnsi" w:cstheme="minorBidi"/>
          <w:sz w:val="24"/>
          <w:szCs w:val="24"/>
        </w:rPr>
      </w:pPr>
      <w:r w:rsidRPr="0693EB9D">
        <w:rPr>
          <w:rFonts w:asciiTheme="minorHAnsi" w:hAnsiTheme="minorHAnsi" w:cstheme="minorBidi"/>
          <w:sz w:val="24"/>
          <w:szCs w:val="24"/>
        </w:rPr>
        <w:t xml:space="preserve">By revising its EE rules, the PUCT has the potential to unlock new levels of efficiency savings that will lower the cost of customer energy bills, reduce utility system costs, offset </w:t>
      </w:r>
      <w:r w:rsidR="256C574A" w:rsidRPr="0693EB9D">
        <w:rPr>
          <w:rFonts w:asciiTheme="minorHAnsi" w:hAnsiTheme="minorHAnsi" w:cstheme="minorBidi"/>
          <w:sz w:val="24"/>
          <w:szCs w:val="24"/>
        </w:rPr>
        <w:t xml:space="preserve">some of </w:t>
      </w:r>
      <w:r w:rsidRPr="0693EB9D">
        <w:rPr>
          <w:rFonts w:asciiTheme="minorHAnsi" w:hAnsiTheme="minorHAnsi" w:cstheme="minorBidi"/>
          <w:sz w:val="24"/>
          <w:szCs w:val="24"/>
        </w:rPr>
        <w:t>the need for more expensive power generation, and ensure the state is better prepared for future extreme weather events. ACEEE stand</w:t>
      </w:r>
      <w:r w:rsidR="67D4B8FF" w:rsidRPr="0693EB9D">
        <w:rPr>
          <w:rFonts w:asciiTheme="minorHAnsi" w:hAnsiTheme="minorHAnsi" w:cstheme="minorBidi"/>
          <w:sz w:val="24"/>
          <w:szCs w:val="24"/>
        </w:rPr>
        <w:t>s</w:t>
      </w:r>
      <w:r w:rsidRPr="0693EB9D">
        <w:rPr>
          <w:rFonts w:asciiTheme="minorHAnsi" w:hAnsiTheme="minorHAnsi" w:cstheme="minorBidi"/>
          <w:sz w:val="24"/>
          <w:szCs w:val="24"/>
        </w:rPr>
        <w:t xml:space="preserve"> ready to assist the Commission and its Staff to achieve these benefits and looks forward to participating in future comment opportunities over the co</w:t>
      </w:r>
      <w:r w:rsidR="2573A39D" w:rsidRPr="0693EB9D">
        <w:rPr>
          <w:rFonts w:asciiTheme="minorHAnsi" w:hAnsiTheme="minorHAnsi" w:cstheme="minorBidi"/>
          <w:sz w:val="24"/>
          <w:szCs w:val="24"/>
        </w:rPr>
        <w:t>u</w:t>
      </w:r>
      <w:r w:rsidRPr="0693EB9D">
        <w:rPr>
          <w:rFonts w:asciiTheme="minorHAnsi" w:hAnsiTheme="minorHAnsi" w:cstheme="minorBidi"/>
          <w:sz w:val="24"/>
          <w:szCs w:val="24"/>
        </w:rPr>
        <w:t xml:space="preserve">rse of the PUCT EE rulemaking process. </w:t>
      </w:r>
      <w:r w:rsidR="5FC73DFB" w:rsidRPr="0693EB9D">
        <w:rPr>
          <w:rFonts w:asciiTheme="minorHAnsi" w:hAnsiTheme="minorHAnsi" w:cstheme="minorBidi"/>
          <w:sz w:val="24"/>
          <w:szCs w:val="24"/>
        </w:rPr>
        <w:t>Another resource that the Commission can look to for a wealth of additional useful information is the National Standard Practice Manual by the National Efficiency Screening Project.</w:t>
      </w:r>
      <w:r w:rsidR="00D11D94" w:rsidRPr="0693EB9D">
        <w:rPr>
          <w:rStyle w:val="FootnoteReference"/>
          <w:rFonts w:asciiTheme="minorHAnsi" w:hAnsiTheme="minorHAnsi" w:cstheme="minorBidi"/>
          <w:sz w:val="24"/>
          <w:szCs w:val="24"/>
        </w:rPr>
        <w:footnoteReference w:id="6"/>
      </w:r>
      <w:r w:rsidR="5FC73DFB" w:rsidRPr="0693EB9D">
        <w:rPr>
          <w:rFonts w:asciiTheme="minorHAnsi" w:hAnsiTheme="minorHAnsi" w:cstheme="minorBidi"/>
          <w:sz w:val="24"/>
          <w:szCs w:val="24"/>
        </w:rPr>
        <w:t xml:space="preserve"> Thank you for the opportunity to provide these comments and please let us know if we can be of further assistance in any way. </w:t>
      </w:r>
    </w:p>
    <w:p w14:paraId="75D6F283" w14:textId="77777777" w:rsidR="00065C84" w:rsidRDefault="00065C84" w:rsidP="004C4294">
      <w:pPr>
        <w:spacing w:after="0"/>
        <w:jc w:val="both"/>
        <w:rPr>
          <w:rFonts w:asciiTheme="minorHAnsi" w:hAnsiTheme="minorHAnsi" w:cstheme="minorHAnsi"/>
          <w:sz w:val="24"/>
          <w:szCs w:val="24"/>
        </w:rPr>
      </w:pPr>
    </w:p>
    <w:p w14:paraId="114E6873" w14:textId="77777777" w:rsidR="00065C84" w:rsidRDefault="00065C84" w:rsidP="004C4294">
      <w:pPr>
        <w:spacing w:after="0"/>
        <w:jc w:val="both"/>
        <w:rPr>
          <w:rFonts w:asciiTheme="minorHAnsi" w:hAnsiTheme="minorHAnsi" w:cstheme="minorHAnsi"/>
          <w:sz w:val="24"/>
          <w:szCs w:val="24"/>
        </w:rPr>
      </w:pPr>
    </w:p>
    <w:p w14:paraId="035BAE93" w14:textId="77777777" w:rsidR="00C436AD" w:rsidRDefault="00C436AD" w:rsidP="004C4294">
      <w:pPr>
        <w:spacing w:after="0"/>
        <w:jc w:val="both"/>
        <w:rPr>
          <w:rFonts w:asciiTheme="minorHAnsi" w:hAnsiTheme="minorHAnsi" w:cstheme="minorHAnsi"/>
          <w:sz w:val="24"/>
          <w:szCs w:val="24"/>
        </w:rPr>
      </w:pPr>
    </w:p>
    <w:p w14:paraId="79ADE24A" w14:textId="64F16384" w:rsidR="00433AE4" w:rsidRPr="00A81A11" w:rsidRDefault="7047B8FF" w:rsidP="004C4294">
      <w:pPr>
        <w:spacing w:after="0"/>
        <w:jc w:val="both"/>
        <w:rPr>
          <w:rFonts w:asciiTheme="minorHAnsi" w:hAnsiTheme="minorHAnsi" w:cstheme="minorHAnsi"/>
          <w:sz w:val="24"/>
          <w:szCs w:val="24"/>
        </w:rPr>
      </w:pPr>
      <w:r w:rsidRPr="0693EB9D">
        <w:rPr>
          <w:rFonts w:asciiTheme="minorHAnsi" w:hAnsiTheme="minorHAnsi" w:cstheme="minorBidi"/>
          <w:sz w:val="24"/>
          <w:szCs w:val="24"/>
        </w:rPr>
        <w:t>Sincerely,</w:t>
      </w:r>
    </w:p>
    <w:p w14:paraId="67CF8354" w14:textId="5B89AB77" w:rsidR="00433AE4" w:rsidRPr="00A81A11" w:rsidRDefault="24EE6CCA" w:rsidP="0693EB9D">
      <w:pPr>
        <w:spacing w:after="0"/>
        <w:jc w:val="both"/>
        <w:rPr>
          <w:rFonts w:asciiTheme="minorHAnsi" w:hAnsiTheme="minorHAnsi" w:cstheme="minorBidi"/>
          <w:sz w:val="24"/>
          <w:szCs w:val="24"/>
        </w:rPr>
      </w:pPr>
      <w:r>
        <w:rPr>
          <w:noProof/>
        </w:rPr>
        <w:drawing>
          <wp:inline distT="0" distB="0" distL="0" distR="0" wp14:anchorId="6A06B340" wp14:editId="0791E1AE">
            <wp:extent cx="2386584" cy="637032"/>
            <wp:effectExtent l="0" t="0" r="0" b="0"/>
            <wp:docPr id="167333215" name="Picture 16733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386584" cy="637032"/>
                    </a:xfrm>
                    <a:prstGeom prst="rect">
                      <a:avLst/>
                    </a:prstGeom>
                  </pic:spPr>
                </pic:pic>
              </a:graphicData>
            </a:graphic>
          </wp:inline>
        </w:drawing>
      </w:r>
    </w:p>
    <w:p w14:paraId="66D7EAA7" w14:textId="440275F5" w:rsidR="0693EB9D" w:rsidRDefault="0693EB9D" w:rsidP="0693EB9D">
      <w:pPr>
        <w:spacing w:after="0"/>
        <w:jc w:val="both"/>
        <w:rPr>
          <w:rFonts w:asciiTheme="minorHAnsi" w:hAnsiTheme="minorHAnsi" w:cstheme="minorBidi"/>
          <w:sz w:val="24"/>
          <w:szCs w:val="24"/>
        </w:rPr>
      </w:pPr>
    </w:p>
    <w:p w14:paraId="31264B7C" w14:textId="64B384B9" w:rsidR="00433AE4" w:rsidRPr="00A81A11" w:rsidRDefault="00C436AD" w:rsidP="004C4294">
      <w:pPr>
        <w:spacing w:after="0"/>
        <w:jc w:val="both"/>
        <w:rPr>
          <w:rFonts w:asciiTheme="minorHAnsi" w:hAnsiTheme="minorHAnsi" w:cstheme="minorHAnsi"/>
          <w:sz w:val="24"/>
          <w:szCs w:val="24"/>
        </w:rPr>
      </w:pPr>
      <w:r>
        <w:rPr>
          <w:rFonts w:asciiTheme="minorHAnsi" w:hAnsiTheme="minorHAnsi" w:cstheme="minorHAnsi"/>
          <w:sz w:val="24"/>
          <w:szCs w:val="24"/>
        </w:rPr>
        <w:t>Forest Bradley-Wright</w:t>
      </w:r>
    </w:p>
    <w:p w14:paraId="3D50042A" w14:textId="1C7601BD" w:rsidR="00433AE4" w:rsidRPr="00A81A11" w:rsidRDefault="00C436AD" w:rsidP="004C4294">
      <w:pPr>
        <w:spacing w:after="0"/>
        <w:jc w:val="both"/>
        <w:rPr>
          <w:rFonts w:asciiTheme="minorHAnsi" w:hAnsiTheme="minorHAnsi" w:cstheme="minorHAnsi"/>
          <w:sz w:val="24"/>
          <w:szCs w:val="24"/>
        </w:rPr>
      </w:pPr>
      <w:r>
        <w:rPr>
          <w:rFonts w:asciiTheme="minorHAnsi" w:hAnsiTheme="minorHAnsi" w:cstheme="minorHAnsi"/>
          <w:sz w:val="24"/>
          <w:szCs w:val="24"/>
        </w:rPr>
        <w:t>State &amp; Utility Policy</w:t>
      </w:r>
      <w:r w:rsidR="00433AE4" w:rsidRPr="00A81A11">
        <w:rPr>
          <w:rFonts w:asciiTheme="minorHAnsi" w:hAnsiTheme="minorHAnsi" w:cstheme="minorHAnsi"/>
          <w:sz w:val="24"/>
          <w:szCs w:val="24"/>
        </w:rPr>
        <w:t xml:space="preserve"> Director</w:t>
      </w:r>
    </w:p>
    <w:p w14:paraId="57A6D45D" w14:textId="2DA1CF39" w:rsidR="00433AE4" w:rsidRDefault="00433AE4" w:rsidP="00433AE4">
      <w:pPr>
        <w:tabs>
          <w:tab w:val="left" w:pos="6060"/>
        </w:tabs>
        <w:spacing w:after="0"/>
        <w:jc w:val="both"/>
        <w:rPr>
          <w:rFonts w:asciiTheme="minorHAnsi" w:hAnsiTheme="minorHAnsi" w:cstheme="minorHAnsi"/>
          <w:sz w:val="24"/>
          <w:szCs w:val="24"/>
        </w:rPr>
      </w:pPr>
      <w:r w:rsidRPr="00A81A11">
        <w:rPr>
          <w:rFonts w:asciiTheme="minorHAnsi" w:hAnsiTheme="minorHAnsi" w:cstheme="minorHAnsi"/>
          <w:sz w:val="24"/>
          <w:szCs w:val="24"/>
        </w:rPr>
        <w:t>American Council for an Energy-Efficient Economy</w:t>
      </w:r>
    </w:p>
    <w:p w14:paraId="310E1312" w14:textId="71B4A8DD" w:rsidR="00E13116" w:rsidRPr="00A81A11" w:rsidRDefault="00C436AD" w:rsidP="00433AE4">
      <w:pPr>
        <w:tabs>
          <w:tab w:val="left" w:pos="6060"/>
        </w:tabs>
        <w:spacing w:after="0"/>
        <w:jc w:val="both"/>
        <w:rPr>
          <w:rFonts w:asciiTheme="minorHAnsi" w:hAnsiTheme="minorHAnsi" w:cstheme="minorHAnsi"/>
          <w:sz w:val="24"/>
          <w:szCs w:val="24"/>
        </w:rPr>
      </w:pPr>
      <w:r>
        <w:rPr>
          <w:rFonts w:asciiTheme="minorHAnsi" w:hAnsiTheme="minorHAnsi" w:cstheme="minorHAnsi"/>
          <w:sz w:val="24"/>
          <w:szCs w:val="24"/>
        </w:rPr>
        <w:t>fwright</w:t>
      </w:r>
      <w:r w:rsidR="00E13116">
        <w:rPr>
          <w:rFonts w:asciiTheme="minorHAnsi" w:hAnsiTheme="minorHAnsi" w:cstheme="minorHAnsi"/>
          <w:sz w:val="24"/>
          <w:szCs w:val="24"/>
        </w:rPr>
        <w:t>@aceee.org</w:t>
      </w:r>
    </w:p>
    <w:sectPr w:rsidR="00E13116" w:rsidRPr="00A81A11" w:rsidSect="00D16DBD">
      <w:headerReference w:type="default" r:id="rId16"/>
      <w:footerReference w:type="default" r:id="rId17"/>
      <w:headerReference w:type="first" r:id="rId18"/>
      <w:footerReference w:type="first" r:id="rId19"/>
      <w:pgSz w:w="12240" w:h="15840"/>
      <w:pgMar w:top="144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0B138" w14:textId="77777777" w:rsidR="00D712F6" w:rsidRDefault="00D712F6">
      <w:r>
        <w:separator/>
      </w:r>
    </w:p>
  </w:endnote>
  <w:endnote w:type="continuationSeparator" w:id="0">
    <w:p w14:paraId="34F1C15D" w14:textId="77777777" w:rsidR="00D712F6" w:rsidRDefault="00D712F6">
      <w:r>
        <w:continuationSeparator/>
      </w:r>
    </w:p>
  </w:endnote>
  <w:endnote w:type="continuationNotice" w:id="1">
    <w:p w14:paraId="7A7094E1" w14:textId="77777777" w:rsidR="00D712F6" w:rsidRDefault="00D71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utura">
    <w:altName w:val="Century Gothic"/>
    <w:charset w:val="00"/>
    <w:family w:val="swiss"/>
    <w:pitch w:val="variable"/>
    <w:sig w:usb0="A0000AEF" w:usb1="5000214A" w:usb2="00000000" w:usb3="00000000" w:csb0="000001FF" w:csb1="00000000"/>
  </w:font>
  <w:font w:name="Franklin Gothic Medium Cond">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Futura Condensed">
    <w:altName w:val="Arial"/>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1CE3" w14:textId="13A826F1" w:rsidR="001046DE" w:rsidRDefault="0693EB9D" w:rsidP="00A83141">
    <w:pPr>
      <w:pStyle w:val="Footer"/>
      <w:tabs>
        <w:tab w:val="clear" w:pos="8640"/>
        <w:tab w:val="right" w:pos="10080"/>
      </w:tabs>
    </w:pPr>
    <w:r>
      <w:t xml:space="preserve">                 </w:t>
    </w:r>
    <w:r w:rsidR="001046DE">
      <w:tab/>
    </w:r>
    <w:r>
      <w:t xml:space="preserve">Page </w:t>
    </w:r>
    <w:r w:rsidR="001046DE" w:rsidRPr="0693EB9D">
      <w:rPr>
        <w:rStyle w:val="PageNumber"/>
        <w:noProof/>
      </w:rPr>
      <w:fldChar w:fldCharType="begin"/>
    </w:r>
    <w:r w:rsidR="001046DE" w:rsidRPr="0693EB9D">
      <w:rPr>
        <w:rStyle w:val="PageNumber"/>
      </w:rPr>
      <w:instrText xml:space="preserve"> PAGE </w:instrText>
    </w:r>
    <w:r w:rsidR="001046DE" w:rsidRPr="0693EB9D">
      <w:rPr>
        <w:rStyle w:val="PageNumber"/>
      </w:rPr>
      <w:fldChar w:fldCharType="separate"/>
    </w:r>
    <w:r w:rsidRPr="0693EB9D">
      <w:rPr>
        <w:rStyle w:val="PageNumber"/>
        <w:noProof/>
      </w:rPr>
      <w:t>3</w:t>
    </w:r>
    <w:r w:rsidR="001046DE" w:rsidRPr="0693EB9D">
      <w:rPr>
        <w:rStyle w:val="PageNumbe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693EB9D" w14:paraId="7346C5ED" w14:textId="77777777" w:rsidTr="0693EB9D">
      <w:trPr>
        <w:trHeight w:val="300"/>
      </w:trPr>
      <w:tc>
        <w:tcPr>
          <w:tcW w:w="3360" w:type="dxa"/>
        </w:tcPr>
        <w:p w14:paraId="14459100" w14:textId="0ABF691E" w:rsidR="0693EB9D" w:rsidRDefault="0693EB9D" w:rsidP="0693EB9D">
          <w:pPr>
            <w:pStyle w:val="Header"/>
            <w:ind w:left="-115"/>
          </w:pPr>
        </w:p>
      </w:tc>
      <w:tc>
        <w:tcPr>
          <w:tcW w:w="3360" w:type="dxa"/>
        </w:tcPr>
        <w:p w14:paraId="48A70539" w14:textId="435B09BF" w:rsidR="0693EB9D" w:rsidRDefault="0693EB9D" w:rsidP="0693EB9D">
          <w:pPr>
            <w:pStyle w:val="Header"/>
            <w:jc w:val="center"/>
          </w:pPr>
        </w:p>
      </w:tc>
      <w:tc>
        <w:tcPr>
          <w:tcW w:w="3360" w:type="dxa"/>
        </w:tcPr>
        <w:p w14:paraId="25F6AD5E" w14:textId="3FC923C9" w:rsidR="0693EB9D" w:rsidRDefault="0693EB9D" w:rsidP="0693EB9D">
          <w:pPr>
            <w:pStyle w:val="Header"/>
            <w:ind w:right="-115"/>
            <w:jc w:val="right"/>
          </w:pPr>
        </w:p>
      </w:tc>
    </w:tr>
  </w:tbl>
  <w:p w14:paraId="53968196" w14:textId="6FDDA02A" w:rsidR="0693EB9D" w:rsidRDefault="0693EB9D" w:rsidP="0693E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8BD29" w14:textId="77777777" w:rsidR="00D712F6" w:rsidRDefault="00D712F6">
      <w:r>
        <w:separator/>
      </w:r>
    </w:p>
  </w:footnote>
  <w:footnote w:type="continuationSeparator" w:id="0">
    <w:p w14:paraId="57EEF5A4" w14:textId="77777777" w:rsidR="00D712F6" w:rsidRDefault="00D712F6">
      <w:r>
        <w:continuationSeparator/>
      </w:r>
    </w:p>
  </w:footnote>
  <w:footnote w:type="continuationNotice" w:id="1">
    <w:p w14:paraId="4959AE67" w14:textId="77777777" w:rsidR="00D712F6" w:rsidRDefault="00D712F6">
      <w:pPr>
        <w:spacing w:after="0"/>
      </w:pPr>
    </w:p>
  </w:footnote>
  <w:footnote w:id="2">
    <w:p w14:paraId="4989263A" w14:textId="7F3983D5" w:rsidR="008675C1" w:rsidRDefault="008675C1">
      <w:pPr>
        <w:pStyle w:val="FootnoteText"/>
      </w:pPr>
      <w:r>
        <w:rPr>
          <w:rStyle w:val="FootnoteReference"/>
        </w:rPr>
        <w:footnoteRef/>
      </w:r>
      <w:r>
        <w:t xml:space="preserve"> </w:t>
      </w:r>
      <w:r w:rsidRPr="008675C1">
        <w:t>https://www.energy.gov/sites/default/files/2023-10/ira-50121-50122-home-energy-rebates-categorical-eligibility-list_10-13-2023.pdf</w:t>
      </w:r>
    </w:p>
  </w:footnote>
  <w:footnote w:id="3">
    <w:p w14:paraId="0A7806B9" w14:textId="763FADDC" w:rsidR="004D39EB" w:rsidRDefault="004D39EB">
      <w:pPr>
        <w:pStyle w:val="FootnoteText"/>
      </w:pPr>
      <w:r>
        <w:rPr>
          <w:rStyle w:val="FootnoteReference"/>
        </w:rPr>
        <w:footnoteRef/>
      </w:r>
      <w:r>
        <w:t xml:space="preserve"> ACEEE Database of State Efficiency Screening Practices: </w:t>
      </w:r>
      <w:hyperlink r:id="rId1" w:history="1">
        <w:r w:rsidRPr="00724396">
          <w:rPr>
            <w:rStyle w:val="Hyperlink"/>
            <w:sz w:val="18"/>
          </w:rPr>
          <w:t>https://public.tableau.com/app/profile/ac3e/viz/DatabaseofStateEfficiencyScreeningPractices_17377419994200/DatabaseofScreeningPractices</w:t>
        </w:r>
      </w:hyperlink>
    </w:p>
  </w:footnote>
  <w:footnote w:id="4">
    <w:p w14:paraId="375CBE21" w14:textId="2D86D663" w:rsidR="007C5CE1" w:rsidRDefault="007C5CE1">
      <w:pPr>
        <w:pStyle w:val="FootnoteText"/>
      </w:pPr>
      <w:r>
        <w:rPr>
          <w:rStyle w:val="FootnoteReference"/>
        </w:rPr>
        <w:footnoteRef/>
      </w:r>
      <w:r>
        <w:t xml:space="preserve"> ibid</w:t>
      </w:r>
    </w:p>
  </w:footnote>
  <w:footnote w:id="5">
    <w:p w14:paraId="234599CF" w14:textId="514EE7BA" w:rsidR="00586EFE" w:rsidRDefault="00586EFE">
      <w:pPr>
        <w:pStyle w:val="FootnoteText"/>
      </w:pPr>
      <w:r>
        <w:rPr>
          <w:rStyle w:val="FootnoteReference"/>
        </w:rPr>
        <w:footnoteRef/>
      </w:r>
      <w:r>
        <w:t xml:space="preserve"> Notably, five of these states do not account for energy, capacity, or any energy efficiency value. </w:t>
      </w:r>
    </w:p>
  </w:footnote>
  <w:footnote w:id="6">
    <w:p w14:paraId="3F2A55E2" w14:textId="4F836AAC" w:rsidR="00D11D94" w:rsidRDefault="00D11D94">
      <w:pPr>
        <w:pStyle w:val="FootnoteText"/>
      </w:pPr>
      <w:r>
        <w:rPr>
          <w:rStyle w:val="FootnoteReference"/>
        </w:rPr>
        <w:footnoteRef/>
      </w:r>
      <w:r>
        <w:t xml:space="preserve"> </w:t>
      </w:r>
      <w:hyperlink r:id="rId2" w:history="1">
        <w:r w:rsidRPr="00724396">
          <w:rPr>
            <w:rStyle w:val="Hyperlink"/>
            <w:sz w:val="18"/>
          </w:rPr>
          <w:t>https://www.nationalenergyscreeningproject.org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693EB9D" w14:paraId="1400B7AA" w14:textId="77777777" w:rsidTr="0693EB9D">
      <w:trPr>
        <w:trHeight w:val="300"/>
      </w:trPr>
      <w:tc>
        <w:tcPr>
          <w:tcW w:w="3360" w:type="dxa"/>
        </w:tcPr>
        <w:p w14:paraId="2DC85028" w14:textId="0383F2FE" w:rsidR="0693EB9D" w:rsidRDefault="0693EB9D" w:rsidP="0693EB9D">
          <w:pPr>
            <w:pStyle w:val="Header"/>
            <w:ind w:left="-115"/>
          </w:pPr>
        </w:p>
      </w:tc>
      <w:tc>
        <w:tcPr>
          <w:tcW w:w="3360" w:type="dxa"/>
        </w:tcPr>
        <w:p w14:paraId="7A44CDF4" w14:textId="50D5A58E" w:rsidR="0693EB9D" w:rsidRDefault="0693EB9D" w:rsidP="0693EB9D">
          <w:pPr>
            <w:pStyle w:val="Header"/>
            <w:jc w:val="center"/>
          </w:pPr>
        </w:p>
      </w:tc>
      <w:tc>
        <w:tcPr>
          <w:tcW w:w="3360" w:type="dxa"/>
        </w:tcPr>
        <w:p w14:paraId="037B39D9" w14:textId="7F34A722" w:rsidR="0693EB9D" w:rsidRDefault="0693EB9D" w:rsidP="0693EB9D">
          <w:pPr>
            <w:pStyle w:val="Header"/>
            <w:ind w:right="-115"/>
            <w:jc w:val="right"/>
          </w:pPr>
        </w:p>
      </w:tc>
    </w:tr>
  </w:tbl>
  <w:p w14:paraId="6F7B7203" w14:textId="7B6B8839" w:rsidR="0693EB9D" w:rsidRDefault="0693EB9D" w:rsidP="0693E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A785" w14:textId="77777777" w:rsidR="001046DE" w:rsidRDefault="007739B0" w:rsidP="0001775F">
    <w:pPr>
      <w:pStyle w:val="Header"/>
      <w:tabs>
        <w:tab w:val="right" w:pos="9720"/>
      </w:tabs>
      <w:ind w:left="-1080" w:right="-1080"/>
    </w:pPr>
    <w:r>
      <w:rPr>
        <w:noProof/>
      </w:rPr>
      <w:drawing>
        <wp:anchor distT="0" distB="0" distL="114300" distR="114300" simplePos="0" relativeHeight="251658240" behindDoc="0" locked="0" layoutInCell="1" allowOverlap="1" wp14:anchorId="54D7F3C3" wp14:editId="19081329">
          <wp:simplePos x="0" y="0"/>
          <wp:positionH relativeFrom="column">
            <wp:posOffset>-717550</wp:posOffset>
          </wp:positionH>
          <wp:positionV relativeFrom="paragraph">
            <wp:posOffset>-50800</wp:posOffset>
          </wp:positionV>
          <wp:extent cx="7776210" cy="685800"/>
          <wp:effectExtent l="0" t="0" r="0" b="0"/>
          <wp:wrapSquare wrapText="bothSides"/>
          <wp:docPr id="1" name="Picture 1" descr="letterhead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header"/>
                  <pic:cNvPicPr>
                    <a:picLocks noChangeAspect="1" noChangeArrowheads="1"/>
                  </pic:cNvPicPr>
                </pic:nvPicPr>
                <pic:blipFill>
                  <a:blip r:embed="rId1">
                    <a:extLst>
                      <a:ext uri="{28A0092B-C50C-407E-A947-70E740481C1C}">
                        <a14:useLocalDpi xmlns:a14="http://schemas.microsoft.com/office/drawing/2010/main" val="0"/>
                      </a:ext>
                    </a:extLst>
                  </a:blip>
                  <a:srcRect t="24654" b="25485"/>
                  <a:stretch>
                    <a:fillRect/>
                  </a:stretch>
                </pic:blipFill>
                <pic:spPr bwMode="auto">
                  <a:xfrm>
                    <a:off x="0" y="0"/>
                    <a:ext cx="7776210" cy="685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35A9"/>
    <w:multiLevelType w:val="hybridMultilevel"/>
    <w:tmpl w:val="817E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22D06"/>
    <w:multiLevelType w:val="hybridMultilevel"/>
    <w:tmpl w:val="06CE4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83E07"/>
    <w:multiLevelType w:val="hybridMultilevel"/>
    <w:tmpl w:val="943C5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31F2B"/>
    <w:multiLevelType w:val="hybridMultilevel"/>
    <w:tmpl w:val="FC166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344B"/>
    <w:multiLevelType w:val="hybridMultilevel"/>
    <w:tmpl w:val="B2AABD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0978E9"/>
    <w:multiLevelType w:val="hybridMultilevel"/>
    <w:tmpl w:val="8F5A1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6021B"/>
    <w:multiLevelType w:val="hybridMultilevel"/>
    <w:tmpl w:val="A8DA37D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8A2088"/>
    <w:multiLevelType w:val="hybridMultilevel"/>
    <w:tmpl w:val="67D2544E"/>
    <w:lvl w:ilvl="0" w:tplc="A02E81A2">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8037C1"/>
    <w:multiLevelType w:val="hybridMultilevel"/>
    <w:tmpl w:val="69F2C2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D9024C"/>
    <w:multiLevelType w:val="hybridMultilevel"/>
    <w:tmpl w:val="AA8C5CF4"/>
    <w:lvl w:ilvl="0" w:tplc="FA563E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C54D89"/>
    <w:multiLevelType w:val="hybridMultilevel"/>
    <w:tmpl w:val="075A67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5D6157"/>
    <w:multiLevelType w:val="hybridMultilevel"/>
    <w:tmpl w:val="3FFE4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2F57D5"/>
    <w:multiLevelType w:val="hybridMultilevel"/>
    <w:tmpl w:val="9E408E50"/>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5FF4FBE"/>
    <w:multiLevelType w:val="hybridMultilevel"/>
    <w:tmpl w:val="00B45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9491A"/>
    <w:multiLevelType w:val="hybridMultilevel"/>
    <w:tmpl w:val="5B2C1F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0F84EF7"/>
    <w:multiLevelType w:val="hybridMultilevel"/>
    <w:tmpl w:val="3F04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46F40"/>
    <w:multiLevelType w:val="hybridMultilevel"/>
    <w:tmpl w:val="8898A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7B01BA"/>
    <w:multiLevelType w:val="hybridMultilevel"/>
    <w:tmpl w:val="D6A04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96286"/>
    <w:multiLevelType w:val="hybridMultilevel"/>
    <w:tmpl w:val="EC9CC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0590182">
    <w:abstractNumId w:val="14"/>
  </w:num>
  <w:num w:numId="2" w16cid:durableId="1701474451">
    <w:abstractNumId w:val="6"/>
  </w:num>
  <w:num w:numId="3" w16cid:durableId="658195099">
    <w:abstractNumId w:val="10"/>
  </w:num>
  <w:num w:numId="4" w16cid:durableId="308751012">
    <w:abstractNumId w:val="8"/>
  </w:num>
  <w:num w:numId="5" w16cid:durableId="2082408459">
    <w:abstractNumId w:val="12"/>
  </w:num>
  <w:num w:numId="6" w16cid:durableId="632636679">
    <w:abstractNumId w:val="4"/>
  </w:num>
  <w:num w:numId="7" w16cid:durableId="1234778020">
    <w:abstractNumId w:val="9"/>
  </w:num>
  <w:num w:numId="8" w16cid:durableId="1417478546">
    <w:abstractNumId w:val="5"/>
  </w:num>
  <w:num w:numId="9" w16cid:durableId="778335669">
    <w:abstractNumId w:val="7"/>
  </w:num>
  <w:num w:numId="10" w16cid:durableId="309291396">
    <w:abstractNumId w:val="13"/>
  </w:num>
  <w:num w:numId="11" w16cid:durableId="840973321">
    <w:abstractNumId w:val="0"/>
  </w:num>
  <w:num w:numId="12" w16cid:durableId="118884866">
    <w:abstractNumId w:val="17"/>
  </w:num>
  <w:num w:numId="13" w16cid:durableId="408312287">
    <w:abstractNumId w:val="2"/>
  </w:num>
  <w:num w:numId="14" w16cid:durableId="579948161">
    <w:abstractNumId w:val="3"/>
  </w:num>
  <w:num w:numId="15" w16cid:durableId="1244532368">
    <w:abstractNumId w:val="18"/>
  </w:num>
  <w:num w:numId="16" w16cid:durableId="828638448">
    <w:abstractNumId w:val="15"/>
  </w:num>
  <w:num w:numId="17" w16cid:durableId="2084839790">
    <w:abstractNumId w:val="11"/>
  </w:num>
  <w:num w:numId="18" w16cid:durableId="626935517">
    <w:abstractNumId w:val="1"/>
  </w:num>
  <w:num w:numId="19" w16cid:durableId="12369369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4C4"/>
    <w:rsid w:val="00000F04"/>
    <w:rsid w:val="00003C22"/>
    <w:rsid w:val="000057C2"/>
    <w:rsid w:val="000077E2"/>
    <w:rsid w:val="00010358"/>
    <w:rsid w:val="00011DA7"/>
    <w:rsid w:val="000135B7"/>
    <w:rsid w:val="00015E2F"/>
    <w:rsid w:val="0001775F"/>
    <w:rsid w:val="00024498"/>
    <w:rsid w:val="00025175"/>
    <w:rsid w:val="00025765"/>
    <w:rsid w:val="00041540"/>
    <w:rsid w:val="00041E34"/>
    <w:rsid w:val="0004282C"/>
    <w:rsid w:val="00043183"/>
    <w:rsid w:val="0004347A"/>
    <w:rsid w:val="00046C6A"/>
    <w:rsid w:val="00050EC1"/>
    <w:rsid w:val="00051058"/>
    <w:rsid w:val="00051301"/>
    <w:rsid w:val="000567D9"/>
    <w:rsid w:val="000606BA"/>
    <w:rsid w:val="000653E2"/>
    <w:rsid w:val="000657C9"/>
    <w:rsid w:val="00065C84"/>
    <w:rsid w:val="00065D18"/>
    <w:rsid w:val="00071609"/>
    <w:rsid w:val="0007571F"/>
    <w:rsid w:val="00077426"/>
    <w:rsid w:val="00082797"/>
    <w:rsid w:val="0008727F"/>
    <w:rsid w:val="00092179"/>
    <w:rsid w:val="00093A71"/>
    <w:rsid w:val="0009751C"/>
    <w:rsid w:val="000A3F52"/>
    <w:rsid w:val="000A72CB"/>
    <w:rsid w:val="000C0C87"/>
    <w:rsid w:val="000C4696"/>
    <w:rsid w:val="000D0183"/>
    <w:rsid w:val="000D13DF"/>
    <w:rsid w:val="000D5E74"/>
    <w:rsid w:val="000E440D"/>
    <w:rsid w:val="000E588B"/>
    <w:rsid w:val="000E6750"/>
    <w:rsid w:val="000F4018"/>
    <w:rsid w:val="001046DE"/>
    <w:rsid w:val="00110778"/>
    <w:rsid w:val="00110DCB"/>
    <w:rsid w:val="00110ED9"/>
    <w:rsid w:val="001119AE"/>
    <w:rsid w:val="0011492B"/>
    <w:rsid w:val="0011766A"/>
    <w:rsid w:val="00120329"/>
    <w:rsid w:val="0013001E"/>
    <w:rsid w:val="00132468"/>
    <w:rsid w:val="00135600"/>
    <w:rsid w:val="00135EEC"/>
    <w:rsid w:val="00141AF6"/>
    <w:rsid w:val="00142EE4"/>
    <w:rsid w:val="00144E2E"/>
    <w:rsid w:val="0014566F"/>
    <w:rsid w:val="00147F61"/>
    <w:rsid w:val="00151780"/>
    <w:rsid w:val="00160E76"/>
    <w:rsid w:val="001616DA"/>
    <w:rsid w:val="00164F52"/>
    <w:rsid w:val="001653BF"/>
    <w:rsid w:val="001658F9"/>
    <w:rsid w:val="00167A15"/>
    <w:rsid w:val="00174D44"/>
    <w:rsid w:val="0018412C"/>
    <w:rsid w:val="00185741"/>
    <w:rsid w:val="00191856"/>
    <w:rsid w:val="001973A8"/>
    <w:rsid w:val="001976F9"/>
    <w:rsid w:val="001A3CFF"/>
    <w:rsid w:val="001A6051"/>
    <w:rsid w:val="001A6A37"/>
    <w:rsid w:val="001B13FF"/>
    <w:rsid w:val="001C01DC"/>
    <w:rsid w:val="001C663D"/>
    <w:rsid w:val="001D0804"/>
    <w:rsid w:val="001E10F0"/>
    <w:rsid w:val="001E2187"/>
    <w:rsid w:val="001E61C8"/>
    <w:rsid w:val="001F0181"/>
    <w:rsid w:val="001F1506"/>
    <w:rsid w:val="001F3911"/>
    <w:rsid w:val="001F7022"/>
    <w:rsid w:val="00201F0B"/>
    <w:rsid w:val="002042B8"/>
    <w:rsid w:val="00204E55"/>
    <w:rsid w:val="00212DE9"/>
    <w:rsid w:val="0021522B"/>
    <w:rsid w:val="002159B4"/>
    <w:rsid w:val="00220FF7"/>
    <w:rsid w:val="0022717F"/>
    <w:rsid w:val="00227F31"/>
    <w:rsid w:val="0023024B"/>
    <w:rsid w:val="00233394"/>
    <w:rsid w:val="00236F8B"/>
    <w:rsid w:val="00240640"/>
    <w:rsid w:val="0024198D"/>
    <w:rsid w:val="00244269"/>
    <w:rsid w:val="00251664"/>
    <w:rsid w:val="0025739C"/>
    <w:rsid w:val="002578A2"/>
    <w:rsid w:val="00262848"/>
    <w:rsid w:val="0026467A"/>
    <w:rsid w:val="00266F41"/>
    <w:rsid w:val="00276370"/>
    <w:rsid w:val="002841D6"/>
    <w:rsid w:val="00293663"/>
    <w:rsid w:val="002A7405"/>
    <w:rsid w:val="002B19DD"/>
    <w:rsid w:val="002B504E"/>
    <w:rsid w:val="002B6A53"/>
    <w:rsid w:val="002C5667"/>
    <w:rsid w:val="002D4335"/>
    <w:rsid w:val="002D60F1"/>
    <w:rsid w:val="002E2E0A"/>
    <w:rsid w:val="002E3E27"/>
    <w:rsid w:val="002E6DE7"/>
    <w:rsid w:val="002F1569"/>
    <w:rsid w:val="002F4D1F"/>
    <w:rsid w:val="00300F34"/>
    <w:rsid w:val="00301D9E"/>
    <w:rsid w:val="00311B14"/>
    <w:rsid w:val="00320A6B"/>
    <w:rsid w:val="00321499"/>
    <w:rsid w:val="00337248"/>
    <w:rsid w:val="0034027E"/>
    <w:rsid w:val="00342A95"/>
    <w:rsid w:val="003477BC"/>
    <w:rsid w:val="0035126C"/>
    <w:rsid w:val="00355242"/>
    <w:rsid w:val="00356613"/>
    <w:rsid w:val="00356F45"/>
    <w:rsid w:val="00357CBC"/>
    <w:rsid w:val="0037284D"/>
    <w:rsid w:val="00372E72"/>
    <w:rsid w:val="00382450"/>
    <w:rsid w:val="003826D9"/>
    <w:rsid w:val="0038384D"/>
    <w:rsid w:val="00391F06"/>
    <w:rsid w:val="00394A98"/>
    <w:rsid w:val="00396E59"/>
    <w:rsid w:val="003A61C8"/>
    <w:rsid w:val="003A65E6"/>
    <w:rsid w:val="003A6B5D"/>
    <w:rsid w:val="003B0206"/>
    <w:rsid w:val="003B7A30"/>
    <w:rsid w:val="003C07DE"/>
    <w:rsid w:val="003D1F4B"/>
    <w:rsid w:val="003E0112"/>
    <w:rsid w:val="003F436C"/>
    <w:rsid w:val="003F483C"/>
    <w:rsid w:val="00416590"/>
    <w:rsid w:val="004208F0"/>
    <w:rsid w:val="00421D22"/>
    <w:rsid w:val="004232BC"/>
    <w:rsid w:val="00430423"/>
    <w:rsid w:val="00430C90"/>
    <w:rsid w:val="00433AE4"/>
    <w:rsid w:val="004352F9"/>
    <w:rsid w:val="004409A2"/>
    <w:rsid w:val="0046063A"/>
    <w:rsid w:val="00465A54"/>
    <w:rsid w:val="0046622E"/>
    <w:rsid w:val="00467462"/>
    <w:rsid w:val="00467EDE"/>
    <w:rsid w:val="004739A5"/>
    <w:rsid w:val="00475CFE"/>
    <w:rsid w:val="004766B8"/>
    <w:rsid w:val="004807EC"/>
    <w:rsid w:val="00481900"/>
    <w:rsid w:val="00485C42"/>
    <w:rsid w:val="004867EA"/>
    <w:rsid w:val="00490643"/>
    <w:rsid w:val="00494822"/>
    <w:rsid w:val="00496378"/>
    <w:rsid w:val="004A4778"/>
    <w:rsid w:val="004B1672"/>
    <w:rsid w:val="004B2F55"/>
    <w:rsid w:val="004B5C9F"/>
    <w:rsid w:val="004B7ACA"/>
    <w:rsid w:val="004C12AE"/>
    <w:rsid w:val="004C4294"/>
    <w:rsid w:val="004D39EB"/>
    <w:rsid w:val="004D754D"/>
    <w:rsid w:val="004E4A0C"/>
    <w:rsid w:val="004E7637"/>
    <w:rsid w:val="00501A68"/>
    <w:rsid w:val="00501C10"/>
    <w:rsid w:val="00501ED6"/>
    <w:rsid w:val="00502062"/>
    <w:rsid w:val="0050335E"/>
    <w:rsid w:val="0050598D"/>
    <w:rsid w:val="00515BED"/>
    <w:rsid w:val="00516D76"/>
    <w:rsid w:val="00523004"/>
    <w:rsid w:val="0053518C"/>
    <w:rsid w:val="005364EF"/>
    <w:rsid w:val="00545D74"/>
    <w:rsid w:val="00546FBF"/>
    <w:rsid w:val="0055100A"/>
    <w:rsid w:val="0055229E"/>
    <w:rsid w:val="00557647"/>
    <w:rsid w:val="00562110"/>
    <w:rsid w:val="00570B7C"/>
    <w:rsid w:val="00571546"/>
    <w:rsid w:val="00577C59"/>
    <w:rsid w:val="00580C16"/>
    <w:rsid w:val="005836F8"/>
    <w:rsid w:val="00586EFE"/>
    <w:rsid w:val="005921E7"/>
    <w:rsid w:val="00594550"/>
    <w:rsid w:val="00595523"/>
    <w:rsid w:val="0059709A"/>
    <w:rsid w:val="005972C3"/>
    <w:rsid w:val="005A003B"/>
    <w:rsid w:val="005A3DC8"/>
    <w:rsid w:val="005A59E0"/>
    <w:rsid w:val="005C0FB5"/>
    <w:rsid w:val="005C3399"/>
    <w:rsid w:val="005C361E"/>
    <w:rsid w:val="005C41C7"/>
    <w:rsid w:val="005C7CA8"/>
    <w:rsid w:val="005D6784"/>
    <w:rsid w:val="005E1EAF"/>
    <w:rsid w:val="005F0910"/>
    <w:rsid w:val="00603B1E"/>
    <w:rsid w:val="00606517"/>
    <w:rsid w:val="0061792A"/>
    <w:rsid w:val="00621A06"/>
    <w:rsid w:val="00622B00"/>
    <w:rsid w:val="006269AC"/>
    <w:rsid w:val="006312B7"/>
    <w:rsid w:val="00631E60"/>
    <w:rsid w:val="006343B8"/>
    <w:rsid w:val="006365F2"/>
    <w:rsid w:val="00637480"/>
    <w:rsid w:val="0063759F"/>
    <w:rsid w:val="0064050E"/>
    <w:rsid w:val="00642D71"/>
    <w:rsid w:val="006430A3"/>
    <w:rsid w:val="006455DB"/>
    <w:rsid w:val="00646D97"/>
    <w:rsid w:val="0065200D"/>
    <w:rsid w:val="00660D58"/>
    <w:rsid w:val="0066144A"/>
    <w:rsid w:val="00672E88"/>
    <w:rsid w:val="006736D0"/>
    <w:rsid w:val="00673BBE"/>
    <w:rsid w:val="00680B8B"/>
    <w:rsid w:val="00681C46"/>
    <w:rsid w:val="00687915"/>
    <w:rsid w:val="006A60B8"/>
    <w:rsid w:val="006B3BDE"/>
    <w:rsid w:val="006C38D9"/>
    <w:rsid w:val="006C77EB"/>
    <w:rsid w:val="006D0B78"/>
    <w:rsid w:val="006D712D"/>
    <w:rsid w:val="006E4E5D"/>
    <w:rsid w:val="006F4823"/>
    <w:rsid w:val="00704ADC"/>
    <w:rsid w:val="00707A74"/>
    <w:rsid w:val="00707E18"/>
    <w:rsid w:val="00711A68"/>
    <w:rsid w:val="00712C29"/>
    <w:rsid w:val="007150AE"/>
    <w:rsid w:val="00727611"/>
    <w:rsid w:val="00741AC5"/>
    <w:rsid w:val="00742C4A"/>
    <w:rsid w:val="00751FD2"/>
    <w:rsid w:val="007547E0"/>
    <w:rsid w:val="007553A5"/>
    <w:rsid w:val="00762606"/>
    <w:rsid w:val="0076326C"/>
    <w:rsid w:val="00763577"/>
    <w:rsid w:val="00767835"/>
    <w:rsid w:val="00767CEC"/>
    <w:rsid w:val="00767E6A"/>
    <w:rsid w:val="007739B0"/>
    <w:rsid w:val="00773C2B"/>
    <w:rsid w:val="00775060"/>
    <w:rsid w:val="0078015F"/>
    <w:rsid w:val="00781AE1"/>
    <w:rsid w:val="007835DE"/>
    <w:rsid w:val="00796C07"/>
    <w:rsid w:val="007A5182"/>
    <w:rsid w:val="007A63C3"/>
    <w:rsid w:val="007A6841"/>
    <w:rsid w:val="007B3FF0"/>
    <w:rsid w:val="007C1B6F"/>
    <w:rsid w:val="007C3DB4"/>
    <w:rsid w:val="007C4C35"/>
    <w:rsid w:val="007C5CE1"/>
    <w:rsid w:val="007D48D8"/>
    <w:rsid w:val="007D4FAC"/>
    <w:rsid w:val="007E073A"/>
    <w:rsid w:val="007F0B8E"/>
    <w:rsid w:val="007F26C5"/>
    <w:rsid w:val="007F588D"/>
    <w:rsid w:val="00801542"/>
    <w:rsid w:val="00802BEB"/>
    <w:rsid w:val="00811783"/>
    <w:rsid w:val="0081195D"/>
    <w:rsid w:val="00814A83"/>
    <w:rsid w:val="00815D95"/>
    <w:rsid w:val="00820426"/>
    <w:rsid w:val="00823DA4"/>
    <w:rsid w:val="00824EE5"/>
    <w:rsid w:val="008276D1"/>
    <w:rsid w:val="0083235A"/>
    <w:rsid w:val="00833ED7"/>
    <w:rsid w:val="008354F0"/>
    <w:rsid w:val="00835662"/>
    <w:rsid w:val="008376E0"/>
    <w:rsid w:val="0084139E"/>
    <w:rsid w:val="008420BF"/>
    <w:rsid w:val="008450BE"/>
    <w:rsid w:val="00846B5F"/>
    <w:rsid w:val="00850967"/>
    <w:rsid w:val="00852BC8"/>
    <w:rsid w:val="008641F1"/>
    <w:rsid w:val="008675C1"/>
    <w:rsid w:val="00872741"/>
    <w:rsid w:val="008730FF"/>
    <w:rsid w:val="008929D4"/>
    <w:rsid w:val="008947C4"/>
    <w:rsid w:val="0089649D"/>
    <w:rsid w:val="008A25F5"/>
    <w:rsid w:val="008A3E2E"/>
    <w:rsid w:val="008B02A7"/>
    <w:rsid w:val="008B06F8"/>
    <w:rsid w:val="008B33D8"/>
    <w:rsid w:val="008B4B3F"/>
    <w:rsid w:val="008B6315"/>
    <w:rsid w:val="008C7444"/>
    <w:rsid w:val="008C787C"/>
    <w:rsid w:val="008C78BF"/>
    <w:rsid w:val="008D6F17"/>
    <w:rsid w:val="008E3DEA"/>
    <w:rsid w:val="008E619E"/>
    <w:rsid w:val="008F59F3"/>
    <w:rsid w:val="008F7187"/>
    <w:rsid w:val="00900A94"/>
    <w:rsid w:val="00904716"/>
    <w:rsid w:val="00905464"/>
    <w:rsid w:val="00907F56"/>
    <w:rsid w:val="0091126F"/>
    <w:rsid w:val="00914F71"/>
    <w:rsid w:val="00921311"/>
    <w:rsid w:val="00935C45"/>
    <w:rsid w:val="00935CF9"/>
    <w:rsid w:val="009376D8"/>
    <w:rsid w:val="0094382D"/>
    <w:rsid w:val="00943CFD"/>
    <w:rsid w:val="009441BE"/>
    <w:rsid w:val="009458E0"/>
    <w:rsid w:val="00950000"/>
    <w:rsid w:val="009514F5"/>
    <w:rsid w:val="0095631C"/>
    <w:rsid w:val="00960837"/>
    <w:rsid w:val="00963DCF"/>
    <w:rsid w:val="0097020D"/>
    <w:rsid w:val="00970432"/>
    <w:rsid w:val="00971B34"/>
    <w:rsid w:val="00977F07"/>
    <w:rsid w:val="00985D4B"/>
    <w:rsid w:val="009911E7"/>
    <w:rsid w:val="009916EF"/>
    <w:rsid w:val="009933B8"/>
    <w:rsid w:val="0099410E"/>
    <w:rsid w:val="00994F0B"/>
    <w:rsid w:val="009A148B"/>
    <w:rsid w:val="009A3817"/>
    <w:rsid w:val="009B674C"/>
    <w:rsid w:val="009C1D10"/>
    <w:rsid w:val="009D0D21"/>
    <w:rsid w:val="009D54B6"/>
    <w:rsid w:val="009E2C9A"/>
    <w:rsid w:val="009E50B2"/>
    <w:rsid w:val="009E7D0A"/>
    <w:rsid w:val="009F1FA5"/>
    <w:rsid w:val="009F6629"/>
    <w:rsid w:val="009F6A0D"/>
    <w:rsid w:val="00A0044C"/>
    <w:rsid w:val="00A01387"/>
    <w:rsid w:val="00A015A4"/>
    <w:rsid w:val="00A11CCD"/>
    <w:rsid w:val="00A124CE"/>
    <w:rsid w:val="00A13FDB"/>
    <w:rsid w:val="00A15A69"/>
    <w:rsid w:val="00A16F54"/>
    <w:rsid w:val="00A17F92"/>
    <w:rsid w:val="00A17F9D"/>
    <w:rsid w:val="00A22815"/>
    <w:rsid w:val="00A2678C"/>
    <w:rsid w:val="00A26C5A"/>
    <w:rsid w:val="00A350A5"/>
    <w:rsid w:val="00A4495E"/>
    <w:rsid w:val="00A52812"/>
    <w:rsid w:val="00A56FE8"/>
    <w:rsid w:val="00A574AB"/>
    <w:rsid w:val="00A60361"/>
    <w:rsid w:val="00A632E0"/>
    <w:rsid w:val="00A65C92"/>
    <w:rsid w:val="00A71AC2"/>
    <w:rsid w:val="00A7389C"/>
    <w:rsid w:val="00A81A11"/>
    <w:rsid w:val="00A83141"/>
    <w:rsid w:val="00A83B12"/>
    <w:rsid w:val="00A8580A"/>
    <w:rsid w:val="00A86F46"/>
    <w:rsid w:val="00A877A2"/>
    <w:rsid w:val="00A946C5"/>
    <w:rsid w:val="00AA17C4"/>
    <w:rsid w:val="00AA4405"/>
    <w:rsid w:val="00AA7A6A"/>
    <w:rsid w:val="00AA7EEC"/>
    <w:rsid w:val="00AB044B"/>
    <w:rsid w:val="00AB3249"/>
    <w:rsid w:val="00AB327E"/>
    <w:rsid w:val="00AB4482"/>
    <w:rsid w:val="00AB507A"/>
    <w:rsid w:val="00AB5086"/>
    <w:rsid w:val="00AB7B62"/>
    <w:rsid w:val="00AC522A"/>
    <w:rsid w:val="00AD26C1"/>
    <w:rsid w:val="00AE2BA3"/>
    <w:rsid w:val="00AE72AE"/>
    <w:rsid w:val="00AF0155"/>
    <w:rsid w:val="00AF3596"/>
    <w:rsid w:val="00AF49B7"/>
    <w:rsid w:val="00AF7E06"/>
    <w:rsid w:val="00B121F1"/>
    <w:rsid w:val="00B128EA"/>
    <w:rsid w:val="00B141E2"/>
    <w:rsid w:val="00B17032"/>
    <w:rsid w:val="00B21332"/>
    <w:rsid w:val="00B34B29"/>
    <w:rsid w:val="00B36555"/>
    <w:rsid w:val="00B37AD3"/>
    <w:rsid w:val="00B566CE"/>
    <w:rsid w:val="00B73B5F"/>
    <w:rsid w:val="00B772FF"/>
    <w:rsid w:val="00B81625"/>
    <w:rsid w:val="00B87820"/>
    <w:rsid w:val="00B9176A"/>
    <w:rsid w:val="00B93B96"/>
    <w:rsid w:val="00B93EC5"/>
    <w:rsid w:val="00B96316"/>
    <w:rsid w:val="00BA0020"/>
    <w:rsid w:val="00BA0CF0"/>
    <w:rsid w:val="00BA1E6D"/>
    <w:rsid w:val="00BA3F6D"/>
    <w:rsid w:val="00BA4C73"/>
    <w:rsid w:val="00BB153E"/>
    <w:rsid w:val="00BC0C0A"/>
    <w:rsid w:val="00BC3181"/>
    <w:rsid w:val="00BC34C4"/>
    <w:rsid w:val="00BC4CE1"/>
    <w:rsid w:val="00BD2B48"/>
    <w:rsid w:val="00BD748A"/>
    <w:rsid w:val="00BE0FBC"/>
    <w:rsid w:val="00BE4AFA"/>
    <w:rsid w:val="00BE5EBD"/>
    <w:rsid w:val="00BE613B"/>
    <w:rsid w:val="00BF00F8"/>
    <w:rsid w:val="00BF098D"/>
    <w:rsid w:val="00BF3FD2"/>
    <w:rsid w:val="00BF42C7"/>
    <w:rsid w:val="00BF6B81"/>
    <w:rsid w:val="00C00501"/>
    <w:rsid w:val="00C007E0"/>
    <w:rsid w:val="00C0343C"/>
    <w:rsid w:val="00C04893"/>
    <w:rsid w:val="00C048F9"/>
    <w:rsid w:val="00C11CBD"/>
    <w:rsid w:val="00C14A3B"/>
    <w:rsid w:val="00C16F40"/>
    <w:rsid w:val="00C1731C"/>
    <w:rsid w:val="00C22769"/>
    <w:rsid w:val="00C22BD1"/>
    <w:rsid w:val="00C234F9"/>
    <w:rsid w:val="00C235BC"/>
    <w:rsid w:val="00C23BFF"/>
    <w:rsid w:val="00C24C9B"/>
    <w:rsid w:val="00C25830"/>
    <w:rsid w:val="00C26379"/>
    <w:rsid w:val="00C26A7B"/>
    <w:rsid w:val="00C27257"/>
    <w:rsid w:val="00C36BF8"/>
    <w:rsid w:val="00C36EE0"/>
    <w:rsid w:val="00C42093"/>
    <w:rsid w:val="00C436AD"/>
    <w:rsid w:val="00C47DAA"/>
    <w:rsid w:val="00C51A1B"/>
    <w:rsid w:val="00C543AC"/>
    <w:rsid w:val="00C56C58"/>
    <w:rsid w:val="00C60130"/>
    <w:rsid w:val="00C666A7"/>
    <w:rsid w:val="00C75F9B"/>
    <w:rsid w:val="00C80075"/>
    <w:rsid w:val="00C85924"/>
    <w:rsid w:val="00C90D4D"/>
    <w:rsid w:val="00C90FDD"/>
    <w:rsid w:val="00C91489"/>
    <w:rsid w:val="00C93163"/>
    <w:rsid w:val="00C94E86"/>
    <w:rsid w:val="00C96E98"/>
    <w:rsid w:val="00CA5502"/>
    <w:rsid w:val="00CA6688"/>
    <w:rsid w:val="00CB0DC9"/>
    <w:rsid w:val="00CB310B"/>
    <w:rsid w:val="00CC3CF6"/>
    <w:rsid w:val="00CC7B40"/>
    <w:rsid w:val="00CD02B4"/>
    <w:rsid w:val="00CD42E6"/>
    <w:rsid w:val="00CD7BF4"/>
    <w:rsid w:val="00CE1D1B"/>
    <w:rsid w:val="00CE7E69"/>
    <w:rsid w:val="00CF0562"/>
    <w:rsid w:val="00CF057B"/>
    <w:rsid w:val="00CF2FEE"/>
    <w:rsid w:val="00CF3EC9"/>
    <w:rsid w:val="00D04777"/>
    <w:rsid w:val="00D11D94"/>
    <w:rsid w:val="00D16DBD"/>
    <w:rsid w:val="00D24AA5"/>
    <w:rsid w:val="00D24C7D"/>
    <w:rsid w:val="00D2630C"/>
    <w:rsid w:val="00D32DE1"/>
    <w:rsid w:val="00D379CF"/>
    <w:rsid w:val="00D40054"/>
    <w:rsid w:val="00D45109"/>
    <w:rsid w:val="00D6727D"/>
    <w:rsid w:val="00D70CA4"/>
    <w:rsid w:val="00D712F6"/>
    <w:rsid w:val="00D76A0C"/>
    <w:rsid w:val="00D839A0"/>
    <w:rsid w:val="00D86AF4"/>
    <w:rsid w:val="00D871F1"/>
    <w:rsid w:val="00DA0785"/>
    <w:rsid w:val="00DA2B84"/>
    <w:rsid w:val="00DA3A77"/>
    <w:rsid w:val="00DA3B90"/>
    <w:rsid w:val="00DA7F64"/>
    <w:rsid w:val="00DB3C0E"/>
    <w:rsid w:val="00DC5247"/>
    <w:rsid w:val="00DC7D07"/>
    <w:rsid w:val="00DD379A"/>
    <w:rsid w:val="00DD4650"/>
    <w:rsid w:val="00DD6722"/>
    <w:rsid w:val="00DD6B40"/>
    <w:rsid w:val="00DE0645"/>
    <w:rsid w:val="00DE156C"/>
    <w:rsid w:val="00DE3955"/>
    <w:rsid w:val="00DE603A"/>
    <w:rsid w:val="00DE66C5"/>
    <w:rsid w:val="00DF3087"/>
    <w:rsid w:val="00DF49FB"/>
    <w:rsid w:val="00DF682A"/>
    <w:rsid w:val="00E00368"/>
    <w:rsid w:val="00E13116"/>
    <w:rsid w:val="00E14DEE"/>
    <w:rsid w:val="00E14E20"/>
    <w:rsid w:val="00E173D7"/>
    <w:rsid w:val="00E26E87"/>
    <w:rsid w:val="00E31DD2"/>
    <w:rsid w:val="00E337FB"/>
    <w:rsid w:val="00E411FB"/>
    <w:rsid w:val="00E47CEC"/>
    <w:rsid w:val="00E50B72"/>
    <w:rsid w:val="00E51F99"/>
    <w:rsid w:val="00E54938"/>
    <w:rsid w:val="00E54BB2"/>
    <w:rsid w:val="00E63E03"/>
    <w:rsid w:val="00E66903"/>
    <w:rsid w:val="00E7008A"/>
    <w:rsid w:val="00E73367"/>
    <w:rsid w:val="00E86E14"/>
    <w:rsid w:val="00E91CA0"/>
    <w:rsid w:val="00EA0CE3"/>
    <w:rsid w:val="00EA591D"/>
    <w:rsid w:val="00EA6065"/>
    <w:rsid w:val="00EA6155"/>
    <w:rsid w:val="00EB17FC"/>
    <w:rsid w:val="00ED08B5"/>
    <w:rsid w:val="00EE4325"/>
    <w:rsid w:val="00EE6499"/>
    <w:rsid w:val="00EE7114"/>
    <w:rsid w:val="00EF0FB9"/>
    <w:rsid w:val="00EF1FBA"/>
    <w:rsid w:val="00EF4DAF"/>
    <w:rsid w:val="00F0301C"/>
    <w:rsid w:val="00F05D9B"/>
    <w:rsid w:val="00F12EBE"/>
    <w:rsid w:val="00F15F38"/>
    <w:rsid w:val="00F175B2"/>
    <w:rsid w:val="00F343DC"/>
    <w:rsid w:val="00F36C3B"/>
    <w:rsid w:val="00F41EC9"/>
    <w:rsid w:val="00F42A60"/>
    <w:rsid w:val="00F53859"/>
    <w:rsid w:val="00F5528D"/>
    <w:rsid w:val="00F64A83"/>
    <w:rsid w:val="00F656F0"/>
    <w:rsid w:val="00F84FD2"/>
    <w:rsid w:val="00F9435D"/>
    <w:rsid w:val="00FA19B2"/>
    <w:rsid w:val="00FA5008"/>
    <w:rsid w:val="00FA5CF5"/>
    <w:rsid w:val="00FA7A8E"/>
    <w:rsid w:val="00FA7C0A"/>
    <w:rsid w:val="00FB5118"/>
    <w:rsid w:val="00FC0258"/>
    <w:rsid w:val="00FC1164"/>
    <w:rsid w:val="00FC2147"/>
    <w:rsid w:val="00FC59CD"/>
    <w:rsid w:val="00FD1041"/>
    <w:rsid w:val="00FE0A99"/>
    <w:rsid w:val="00FE1EBB"/>
    <w:rsid w:val="00FE1F0B"/>
    <w:rsid w:val="0277D096"/>
    <w:rsid w:val="02CF23E7"/>
    <w:rsid w:val="0693EB9D"/>
    <w:rsid w:val="090FC746"/>
    <w:rsid w:val="0A21984E"/>
    <w:rsid w:val="0AADB0CC"/>
    <w:rsid w:val="0AFBBC1C"/>
    <w:rsid w:val="0E4AF3CC"/>
    <w:rsid w:val="10FF14BB"/>
    <w:rsid w:val="13772D0A"/>
    <w:rsid w:val="1532B08A"/>
    <w:rsid w:val="16BDEB62"/>
    <w:rsid w:val="16C94F2B"/>
    <w:rsid w:val="16F6C145"/>
    <w:rsid w:val="18B1D2AB"/>
    <w:rsid w:val="1967A4E1"/>
    <w:rsid w:val="1BF1FCF6"/>
    <w:rsid w:val="1C3D5149"/>
    <w:rsid w:val="1EC2AB0A"/>
    <w:rsid w:val="1FA623F4"/>
    <w:rsid w:val="2097424A"/>
    <w:rsid w:val="21C954F6"/>
    <w:rsid w:val="24EE6CCA"/>
    <w:rsid w:val="256C574A"/>
    <w:rsid w:val="2573A39D"/>
    <w:rsid w:val="2629C9D6"/>
    <w:rsid w:val="2772DFB1"/>
    <w:rsid w:val="28F3383D"/>
    <w:rsid w:val="2EE0F2D4"/>
    <w:rsid w:val="31A4E28D"/>
    <w:rsid w:val="3305AB61"/>
    <w:rsid w:val="33BE6127"/>
    <w:rsid w:val="37D62C49"/>
    <w:rsid w:val="38379238"/>
    <w:rsid w:val="3A47CCE6"/>
    <w:rsid w:val="3CB6332A"/>
    <w:rsid w:val="3E6E07DF"/>
    <w:rsid w:val="3F65CD60"/>
    <w:rsid w:val="40945011"/>
    <w:rsid w:val="40C71D86"/>
    <w:rsid w:val="41B318DD"/>
    <w:rsid w:val="42D79BAF"/>
    <w:rsid w:val="4459CB8C"/>
    <w:rsid w:val="449F7240"/>
    <w:rsid w:val="45C11392"/>
    <w:rsid w:val="4611AB45"/>
    <w:rsid w:val="4905FE79"/>
    <w:rsid w:val="49BA72B9"/>
    <w:rsid w:val="4B6F0267"/>
    <w:rsid w:val="4E758CA6"/>
    <w:rsid w:val="4F08D22D"/>
    <w:rsid w:val="516D1F54"/>
    <w:rsid w:val="56017003"/>
    <w:rsid w:val="5C7DD550"/>
    <w:rsid w:val="5CF77F0D"/>
    <w:rsid w:val="5F710F71"/>
    <w:rsid w:val="5FC73DFB"/>
    <w:rsid w:val="624A2473"/>
    <w:rsid w:val="64480B64"/>
    <w:rsid w:val="665060D9"/>
    <w:rsid w:val="66715C39"/>
    <w:rsid w:val="66B271F5"/>
    <w:rsid w:val="67D4B8FF"/>
    <w:rsid w:val="6A6D4FBC"/>
    <w:rsid w:val="6BFBA1F9"/>
    <w:rsid w:val="6E54281E"/>
    <w:rsid w:val="6EEA7248"/>
    <w:rsid w:val="7000832C"/>
    <w:rsid w:val="7047B8FF"/>
    <w:rsid w:val="70F4B1B8"/>
    <w:rsid w:val="74D7A315"/>
    <w:rsid w:val="7524DAE2"/>
    <w:rsid w:val="7982753F"/>
    <w:rsid w:val="7B746A5F"/>
    <w:rsid w:val="7BB041FF"/>
    <w:rsid w:val="7C0662CD"/>
    <w:rsid w:val="7DA01931"/>
    <w:rsid w:val="7E01FE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97E05"/>
  <w15:docId w15:val="{BC669A96-95D7-46B0-8078-281ABEEEF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1" w:unhideWhenUsed="1"/>
    <w:lsdException w:name="toc 4" w:semiHidden="1" w:uiPriority="11" w:unhideWhenUsed="1"/>
    <w:lsdException w:name="toc 5" w:semiHidden="1" w:uiPriority="11" w:unhideWhenUsed="1"/>
    <w:lsdException w:name="toc 6" w:semiHidden="1" w:uiPriority="11" w:unhideWhenUsed="1"/>
    <w:lsdException w:name="toc 7" w:semiHidden="1" w:uiPriority="12" w:unhideWhenUsed="1"/>
    <w:lsdException w:name="toc 8" w:semiHidden="1" w:uiPriority="12" w:unhideWhenUsed="1"/>
    <w:lsdException w:name="toc 9" w:semiHidden="1" w:uiPriority="12" w:unhideWhenUsed="1"/>
    <w:lsdException w:name="Normal Indent" w:semiHidden="1" w:unhideWhenUsed="1"/>
    <w:lsdException w:name="footnote text" w:semiHidden="1" w:uiPriority="12" w:unhideWhenUsed="1"/>
    <w:lsdException w:name="annotation text" w:semiHidden="1" w:uiPriority="12" w:unhideWhenUsed="1"/>
    <w:lsdException w:name="header" w:semiHidden="1" w:uiPriority="1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2" w:unhideWhenUsed="1"/>
    <w:lsdException w:name="annotation reference" w:semiHidden="1" w:uiPriority="12"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2"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2"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BF42C7"/>
    <w:pPr>
      <w:spacing w:after="240"/>
    </w:pPr>
    <w:rPr>
      <w:rFonts w:ascii="Book Antiqua" w:eastAsia="Times New Roman" w:hAnsi="Book Antiqua"/>
      <w:sz w:val="22"/>
    </w:rPr>
  </w:style>
  <w:style w:type="paragraph" w:styleId="Heading1">
    <w:name w:val="heading 1"/>
    <w:basedOn w:val="Normal"/>
    <w:next w:val="Normal"/>
    <w:qFormat/>
    <w:rsid w:val="00BF42C7"/>
    <w:pPr>
      <w:keepNext/>
      <w:spacing w:after="60"/>
      <w:outlineLvl w:val="0"/>
    </w:pPr>
    <w:rPr>
      <w:rFonts w:ascii="Franklin Gothic Medium" w:hAnsi="Franklin Gothic Medium"/>
      <w:bCs/>
      <w:kern w:val="28"/>
      <w:sz w:val="28"/>
      <w:szCs w:val="28"/>
    </w:rPr>
  </w:style>
  <w:style w:type="paragraph" w:styleId="Heading2">
    <w:name w:val="heading 2"/>
    <w:basedOn w:val="Normal"/>
    <w:next w:val="Normal"/>
    <w:link w:val="Heading2Char"/>
    <w:qFormat/>
    <w:rsid w:val="00BF42C7"/>
    <w:pPr>
      <w:keepNext/>
      <w:spacing w:after="60"/>
      <w:outlineLvl w:val="1"/>
    </w:pPr>
    <w:rPr>
      <w:rFonts w:ascii="Franklin Gothic Medium" w:hAnsi="Franklin Gothic Medium" w:cs="Futura"/>
      <w:i/>
      <w:smallCaps/>
      <w:sz w:val="26"/>
      <w:szCs w:val="26"/>
    </w:rPr>
  </w:style>
  <w:style w:type="paragraph" w:styleId="Heading3">
    <w:name w:val="heading 3"/>
    <w:basedOn w:val="Normal"/>
    <w:next w:val="Normal"/>
    <w:link w:val="Heading3Char"/>
    <w:qFormat/>
    <w:rsid w:val="00BF42C7"/>
    <w:pPr>
      <w:keepNext/>
      <w:spacing w:after="60"/>
      <w:outlineLvl w:val="2"/>
    </w:pPr>
    <w:rPr>
      <w:rFonts w:ascii="Franklin Gothic Medium" w:hAnsi="Franklin Gothic Medium"/>
    </w:rPr>
  </w:style>
  <w:style w:type="paragraph" w:styleId="Heading4">
    <w:name w:val="heading 4"/>
    <w:basedOn w:val="Normal"/>
    <w:next w:val="Normal"/>
    <w:qFormat/>
    <w:rsid w:val="00BF42C7"/>
    <w:pPr>
      <w:keepNext/>
      <w:outlineLvl w:val="3"/>
    </w:pPr>
    <w:rPr>
      <w:rFonts w:ascii="Franklin Gothic Medium Cond" w:hAnsi="Franklin Gothic Medium Cond"/>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rsid w:val="00DC5247"/>
  </w:style>
  <w:style w:type="character" w:styleId="CommentReference">
    <w:name w:val="annotation reference"/>
    <w:uiPriority w:val="12"/>
    <w:semiHidden/>
    <w:rsid w:val="00BF42C7"/>
    <w:rPr>
      <w:sz w:val="16"/>
      <w:szCs w:val="16"/>
    </w:rPr>
  </w:style>
  <w:style w:type="paragraph" w:styleId="CommentText">
    <w:name w:val="annotation text"/>
    <w:basedOn w:val="Normal"/>
    <w:link w:val="CommentTextChar"/>
    <w:uiPriority w:val="12"/>
    <w:semiHidden/>
    <w:rsid w:val="00BF42C7"/>
  </w:style>
  <w:style w:type="paragraph" w:styleId="BodyText">
    <w:name w:val="Body Text"/>
    <w:basedOn w:val="Normal"/>
    <w:rsid w:val="00DC5247"/>
    <w:rPr>
      <w:i/>
      <w:iCs/>
    </w:rPr>
  </w:style>
  <w:style w:type="paragraph" w:styleId="BalloonText">
    <w:name w:val="Balloon Text"/>
    <w:basedOn w:val="Normal"/>
    <w:uiPriority w:val="12"/>
    <w:semiHidden/>
    <w:rsid w:val="00BF42C7"/>
    <w:rPr>
      <w:rFonts w:ascii="Tahoma" w:hAnsi="Tahoma" w:cs="Tahoma"/>
      <w:sz w:val="16"/>
      <w:szCs w:val="16"/>
    </w:rPr>
  </w:style>
  <w:style w:type="paragraph" w:styleId="FootnoteText">
    <w:name w:val="footnote text"/>
    <w:basedOn w:val="Normal"/>
    <w:link w:val="FootnoteTextChar"/>
    <w:uiPriority w:val="12"/>
    <w:semiHidden/>
    <w:rsid w:val="00BF42C7"/>
    <w:rPr>
      <w:sz w:val="18"/>
    </w:rPr>
  </w:style>
  <w:style w:type="character" w:styleId="FootnoteReference">
    <w:name w:val="footnote reference"/>
    <w:uiPriority w:val="12"/>
    <w:semiHidden/>
    <w:rsid w:val="00BF42C7"/>
    <w:rPr>
      <w:vertAlign w:val="superscript"/>
    </w:rPr>
  </w:style>
  <w:style w:type="character" w:customStyle="1" w:styleId="Heading3Char">
    <w:name w:val="Heading 3 Char"/>
    <w:link w:val="Heading3"/>
    <w:rsid w:val="000D5E74"/>
    <w:rPr>
      <w:rFonts w:ascii="Franklin Gothic Medium" w:eastAsia="Times New Roman" w:hAnsi="Franklin Gothic Medium"/>
      <w:sz w:val="22"/>
      <w:szCs w:val="24"/>
    </w:rPr>
  </w:style>
  <w:style w:type="paragraph" w:styleId="Header">
    <w:name w:val="header"/>
    <w:basedOn w:val="Normal"/>
    <w:link w:val="HeaderChar"/>
    <w:uiPriority w:val="12"/>
    <w:unhideWhenUsed/>
    <w:rsid w:val="00BF42C7"/>
    <w:pPr>
      <w:tabs>
        <w:tab w:val="center" w:pos="4680"/>
        <w:tab w:val="right" w:pos="9360"/>
      </w:tabs>
    </w:pPr>
  </w:style>
  <w:style w:type="paragraph" w:styleId="Footer">
    <w:name w:val="footer"/>
    <w:basedOn w:val="Normal"/>
    <w:link w:val="FooterChar"/>
    <w:uiPriority w:val="99"/>
    <w:rsid w:val="00BF42C7"/>
    <w:pPr>
      <w:tabs>
        <w:tab w:val="center" w:pos="4320"/>
        <w:tab w:val="right" w:pos="8640"/>
      </w:tabs>
    </w:pPr>
  </w:style>
  <w:style w:type="character" w:styleId="Hyperlink">
    <w:name w:val="Hyperlink"/>
    <w:basedOn w:val="DefaultParagraphFont"/>
    <w:uiPriority w:val="99"/>
    <w:qFormat/>
    <w:rsid w:val="00BF42C7"/>
    <w:rPr>
      <w:rFonts w:ascii="Book Antiqua" w:hAnsi="Book Antiqua"/>
      <w:color w:val="0000FF" w:themeColor="hyperlink"/>
      <w:sz w:val="22"/>
      <w:u w:val="single"/>
    </w:rPr>
  </w:style>
  <w:style w:type="paragraph" w:customStyle="1" w:styleId="Default">
    <w:name w:val="Default"/>
    <w:rsid w:val="002A7405"/>
    <w:pPr>
      <w:autoSpaceDE w:val="0"/>
      <w:autoSpaceDN w:val="0"/>
      <w:adjustRightInd w:val="0"/>
    </w:pPr>
    <w:rPr>
      <w:rFonts w:eastAsia="Times New Roman"/>
      <w:color w:val="000000"/>
      <w:sz w:val="24"/>
      <w:szCs w:val="24"/>
    </w:rPr>
  </w:style>
  <w:style w:type="character" w:styleId="PageNumber">
    <w:name w:val="page number"/>
    <w:basedOn w:val="DefaultParagraphFont"/>
    <w:rsid w:val="002A7405"/>
  </w:style>
  <w:style w:type="character" w:customStyle="1" w:styleId="FootnoteTextChar">
    <w:name w:val="Footnote Text Char"/>
    <w:link w:val="FootnoteText"/>
    <w:uiPriority w:val="12"/>
    <w:semiHidden/>
    <w:rsid w:val="001046DE"/>
    <w:rPr>
      <w:rFonts w:ascii="Book Antiqua" w:eastAsia="Times New Roman" w:hAnsi="Book Antiqua"/>
      <w:sz w:val="18"/>
    </w:rPr>
  </w:style>
  <w:style w:type="character" w:styleId="Emphasis">
    <w:name w:val="Emphasis"/>
    <w:uiPriority w:val="20"/>
    <w:qFormat/>
    <w:rsid w:val="001046DE"/>
    <w:rPr>
      <w:i/>
      <w:iCs/>
    </w:rPr>
  </w:style>
  <w:style w:type="paragraph" w:styleId="ListParagraph">
    <w:name w:val="List Paragraph"/>
    <w:basedOn w:val="Normal"/>
    <w:uiPriority w:val="34"/>
    <w:rsid w:val="00BF42C7"/>
    <w:pPr>
      <w:contextualSpacing/>
    </w:pPr>
  </w:style>
  <w:style w:type="table" w:styleId="TableGrid">
    <w:name w:val="Table Grid"/>
    <w:basedOn w:val="TableNormal"/>
    <w:uiPriority w:val="59"/>
    <w:rsid w:val="00D86AF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2"/>
    <w:rsid w:val="00BF42C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2"/>
    <w:rsid w:val="00BF42C7"/>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rsid w:val="00BF42C7"/>
    <w:pPr>
      <w:spacing w:after="200"/>
    </w:pPr>
    <w:rPr>
      <w:i/>
      <w:iCs/>
      <w:color w:val="1F497D" w:themeColor="text2"/>
      <w:sz w:val="18"/>
      <w:szCs w:val="18"/>
    </w:rPr>
  </w:style>
  <w:style w:type="paragraph" w:styleId="CommentSubject">
    <w:name w:val="annotation subject"/>
    <w:basedOn w:val="CommentText"/>
    <w:next w:val="CommentText"/>
    <w:link w:val="CommentSubjectChar"/>
    <w:uiPriority w:val="12"/>
    <w:semiHidden/>
    <w:rsid w:val="00BF42C7"/>
    <w:rPr>
      <w:b/>
      <w:bCs/>
    </w:rPr>
  </w:style>
  <w:style w:type="character" w:customStyle="1" w:styleId="CommentTextChar">
    <w:name w:val="Comment Text Char"/>
    <w:basedOn w:val="DefaultParagraphFont"/>
    <w:link w:val="CommentText"/>
    <w:uiPriority w:val="12"/>
    <w:semiHidden/>
    <w:rsid w:val="00BF42C7"/>
    <w:rPr>
      <w:rFonts w:ascii="Book Antiqua" w:eastAsia="Times New Roman" w:hAnsi="Book Antiqua"/>
      <w:sz w:val="22"/>
    </w:rPr>
  </w:style>
  <w:style w:type="character" w:customStyle="1" w:styleId="CommentSubjectChar">
    <w:name w:val="Comment Subject Char"/>
    <w:basedOn w:val="CommentTextChar"/>
    <w:link w:val="CommentSubject"/>
    <w:uiPriority w:val="12"/>
    <w:semiHidden/>
    <w:rsid w:val="00BF42C7"/>
    <w:rPr>
      <w:rFonts w:ascii="Book Antiqua" w:eastAsia="Times New Roman" w:hAnsi="Book Antiqua"/>
      <w:b/>
      <w:bCs/>
      <w:sz w:val="22"/>
    </w:rPr>
  </w:style>
  <w:style w:type="character" w:customStyle="1" w:styleId="FooterChar">
    <w:name w:val="Footer Char"/>
    <w:basedOn w:val="DefaultParagraphFont"/>
    <w:link w:val="Footer"/>
    <w:uiPriority w:val="99"/>
    <w:rsid w:val="00BF42C7"/>
    <w:rPr>
      <w:rFonts w:ascii="Book Antiqua" w:eastAsia="Times New Roman" w:hAnsi="Book Antiqua"/>
      <w:sz w:val="22"/>
    </w:rPr>
  </w:style>
  <w:style w:type="paragraph" w:customStyle="1" w:styleId="Footnotes">
    <w:name w:val="Footnotes"/>
    <w:basedOn w:val="Normal"/>
    <w:uiPriority w:val="2"/>
    <w:qFormat/>
    <w:rsid w:val="00BF42C7"/>
    <w:pPr>
      <w:tabs>
        <w:tab w:val="left" w:pos="360"/>
      </w:tabs>
      <w:spacing w:after="120"/>
    </w:pPr>
    <w:rPr>
      <w:sz w:val="18"/>
    </w:rPr>
  </w:style>
  <w:style w:type="character" w:customStyle="1" w:styleId="HeaderChar">
    <w:name w:val="Header Char"/>
    <w:basedOn w:val="DefaultParagraphFont"/>
    <w:link w:val="Header"/>
    <w:uiPriority w:val="12"/>
    <w:rsid w:val="00BF42C7"/>
    <w:rPr>
      <w:rFonts w:ascii="Book Antiqua" w:eastAsia="Times New Roman" w:hAnsi="Book Antiqua"/>
      <w:sz w:val="22"/>
    </w:rPr>
  </w:style>
  <w:style w:type="character" w:customStyle="1" w:styleId="Heading2Char">
    <w:name w:val="Heading 2 Char"/>
    <w:basedOn w:val="DefaultParagraphFont"/>
    <w:link w:val="Heading2"/>
    <w:rsid w:val="00BF42C7"/>
    <w:rPr>
      <w:rFonts w:ascii="Franklin Gothic Medium" w:eastAsia="Times New Roman" w:hAnsi="Franklin Gothic Medium" w:cs="Futura"/>
      <w:i/>
      <w:smallCaps/>
      <w:sz w:val="26"/>
      <w:szCs w:val="26"/>
    </w:rPr>
  </w:style>
  <w:style w:type="paragraph" w:customStyle="1" w:styleId="References">
    <w:name w:val="References"/>
    <w:basedOn w:val="Normal"/>
    <w:uiPriority w:val="9"/>
    <w:qFormat/>
    <w:rsid w:val="00BF42C7"/>
    <w:pPr>
      <w:ind w:left="360" w:hanging="360"/>
    </w:pPr>
  </w:style>
  <w:style w:type="paragraph" w:customStyle="1" w:styleId="StyleHeading3Italic">
    <w:name w:val="Style Heading 3 + Italic"/>
    <w:basedOn w:val="Heading3"/>
    <w:uiPriority w:val="11"/>
    <w:rsid w:val="00BF42C7"/>
    <w:rPr>
      <w:i/>
      <w:iCs/>
      <w:szCs w:val="24"/>
    </w:rPr>
  </w:style>
  <w:style w:type="paragraph" w:customStyle="1" w:styleId="StyleHeading3JustifiedFirstline0">
    <w:name w:val="Style Heading 3 + Justified First line:  0&quot;"/>
    <w:basedOn w:val="Heading3"/>
    <w:uiPriority w:val="11"/>
    <w:rsid w:val="00BF42C7"/>
    <w:pPr>
      <w:jc w:val="both"/>
    </w:pPr>
    <w:rPr>
      <w:b/>
      <w:bCs/>
      <w:smallCaps/>
      <w:szCs w:val="24"/>
    </w:rPr>
  </w:style>
  <w:style w:type="paragraph" w:customStyle="1" w:styleId="StyleHeading4NotItalic">
    <w:name w:val="Style Heading 4 + Not Italic"/>
    <w:basedOn w:val="Heading4"/>
    <w:uiPriority w:val="11"/>
    <w:rsid w:val="00BF42C7"/>
    <w:pPr>
      <w:spacing w:after="0"/>
    </w:pPr>
    <w:rPr>
      <w:i/>
      <w:sz w:val="20"/>
      <w:szCs w:val="24"/>
    </w:rPr>
  </w:style>
  <w:style w:type="paragraph" w:customStyle="1" w:styleId="TblNrml">
    <w:name w:val="Tbl Nrml"/>
    <w:basedOn w:val="Normal"/>
    <w:autoRedefine/>
    <w:qFormat/>
    <w:rsid w:val="00BF42C7"/>
    <w:pPr>
      <w:spacing w:before="60" w:after="60"/>
    </w:pPr>
    <w:rPr>
      <w:rFonts w:ascii="Franklin Gothic Book" w:hAnsi="Franklin Gothic Book" w:cs="Futura"/>
      <w:sz w:val="20"/>
    </w:rPr>
  </w:style>
  <w:style w:type="paragraph" w:customStyle="1" w:styleId="Tblttl">
    <w:name w:val="Tbl ttl"/>
    <w:basedOn w:val="Normal"/>
    <w:qFormat/>
    <w:rsid w:val="00BF42C7"/>
    <w:pPr>
      <w:spacing w:after="120"/>
    </w:pPr>
    <w:rPr>
      <w:rFonts w:ascii="Franklin Gothic Medium Cond" w:hAnsi="Franklin Gothic Medium Cond"/>
      <w:bCs/>
      <w:sz w:val="20"/>
    </w:rPr>
  </w:style>
  <w:style w:type="paragraph" w:styleId="TOC1">
    <w:name w:val="toc 1"/>
    <w:basedOn w:val="Normal"/>
    <w:next w:val="Normal"/>
    <w:autoRedefine/>
    <w:uiPriority w:val="39"/>
    <w:rsid w:val="00BF42C7"/>
    <w:pPr>
      <w:tabs>
        <w:tab w:val="right" w:leader="dot" w:pos="8990"/>
      </w:tabs>
    </w:pPr>
  </w:style>
  <w:style w:type="paragraph" w:styleId="TOC2">
    <w:name w:val="toc 2"/>
    <w:basedOn w:val="Normal"/>
    <w:next w:val="Normal"/>
    <w:autoRedefine/>
    <w:uiPriority w:val="39"/>
    <w:rsid w:val="00BF42C7"/>
    <w:pPr>
      <w:tabs>
        <w:tab w:val="right" w:leader="dot" w:pos="8990"/>
      </w:tabs>
      <w:ind w:left="630"/>
    </w:pPr>
  </w:style>
  <w:style w:type="paragraph" w:styleId="TOC3">
    <w:name w:val="toc 3"/>
    <w:basedOn w:val="Normal"/>
    <w:next w:val="Normal"/>
    <w:autoRedefine/>
    <w:uiPriority w:val="11"/>
    <w:semiHidden/>
    <w:rsid w:val="00BF42C7"/>
    <w:pPr>
      <w:ind w:left="480"/>
    </w:pPr>
  </w:style>
  <w:style w:type="paragraph" w:styleId="TOC4">
    <w:name w:val="toc 4"/>
    <w:basedOn w:val="Normal"/>
    <w:next w:val="Normal"/>
    <w:autoRedefine/>
    <w:uiPriority w:val="11"/>
    <w:semiHidden/>
    <w:rsid w:val="00BF42C7"/>
    <w:pPr>
      <w:ind w:left="720"/>
    </w:pPr>
  </w:style>
  <w:style w:type="paragraph" w:styleId="TOC5">
    <w:name w:val="toc 5"/>
    <w:basedOn w:val="Normal"/>
    <w:next w:val="Normal"/>
    <w:autoRedefine/>
    <w:uiPriority w:val="11"/>
    <w:semiHidden/>
    <w:rsid w:val="00BF42C7"/>
    <w:pPr>
      <w:ind w:left="960"/>
    </w:pPr>
  </w:style>
  <w:style w:type="paragraph" w:styleId="TOC6">
    <w:name w:val="toc 6"/>
    <w:basedOn w:val="Normal"/>
    <w:next w:val="Normal"/>
    <w:autoRedefine/>
    <w:uiPriority w:val="11"/>
    <w:semiHidden/>
    <w:rsid w:val="00BF42C7"/>
    <w:pPr>
      <w:ind w:left="1200"/>
    </w:pPr>
  </w:style>
  <w:style w:type="paragraph" w:styleId="TOC7">
    <w:name w:val="toc 7"/>
    <w:basedOn w:val="Normal"/>
    <w:next w:val="Normal"/>
    <w:autoRedefine/>
    <w:uiPriority w:val="12"/>
    <w:semiHidden/>
    <w:rsid w:val="00BF42C7"/>
    <w:pPr>
      <w:ind w:left="1440"/>
    </w:pPr>
  </w:style>
  <w:style w:type="paragraph" w:styleId="TOC8">
    <w:name w:val="toc 8"/>
    <w:basedOn w:val="Normal"/>
    <w:next w:val="Normal"/>
    <w:autoRedefine/>
    <w:uiPriority w:val="12"/>
    <w:semiHidden/>
    <w:rsid w:val="00BF42C7"/>
    <w:pPr>
      <w:ind w:left="1680"/>
    </w:pPr>
  </w:style>
  <w:style w:type="paragraph" w:styleId="TOC9">
    <w:name w:val="toc 9"/>
    <w:basedOn w:val="Normal"/>
    <w:next w:val="Normal"/>
    <w:autoRedefine/>
    <w:uiPriority w:val="12"/>
    <w:semiHidden/>
    <w:rsid w:val="00BF42C7"/>
    <w:pPr>
      <w:ind w:left="1920"/>
    </w:pPr>
  </w:style>
  <w:style w:type="paragraph" w:customStyle="1" w:styleId="Underfigtbl">
    <w:name w:val="Under fig/tbl"/>
    <w:basedOn w:val="Normal"/>
    <w:link w:val="UnderfigtblChar"/>
    <w:uiPriority w:val="1"/>
    <w:qFormat/>
    <w:rsid w:val="00BF42C7"/>
    <w:pPr>
      <w:spacing w:before="120"/>
    </w:pPr>
    <w:rPr>
      <w:rFonts w:ascii="Franklin Gothic Medium Cond" w:hAnsi="Franklin Gothic Medium Cond" w:cs="Futura Condensed"/>
      <w:sz w:val="18"/>
      <w:szCs w:val="18"/>
    </w:rPr>
  </w:style>
  <w:style w:type="character" w:customStyle="1" w:styleId="UnderfigtblChar">
    <w:name w:val="Under fig/tbl Char"/>
    <w:basedOn w:val="DefaultParagraphFont"/>
    <w:link w:val="Underfigtbl"/>
    <w:uiPriority w:val="1"/>
    <w:rsid w:val="00BF42C7"/>
    <w:rPr>
      <w:rFonts w:ascii="Franklin Gothic Medium Cond" w:eastAsia="Times New Roman" w:hAnsi="Franklin Gothic Medium Cond" w:cs="Futura Condensed"/>
      <w:sz w:val="18"/>
      <w:szCs w:val="18"/>
    </w:rPr>
  </w:style>
  <w:style w:type="paragraph" w:styleId="Revision">
    <w:name w:val="Revision"/>
    <w:hidden/>
    <w:uiPriority w:val="99"/>
    <w:semiHidden/>
    <w:rsid w:val="006736D0"/>
    <w:rPr>
      <w:rFonts w:ascii="Book Antiqua" w:eastAsia="Times New Roman" w:hAnsi="Book Antiqua"/>
      <w:sz w:val="22"/>
    </w:rPr>
  </w:style>
  <w:style w:type="character" w:styleId="UnresolvedMention">
    <w:name w:val="Unresolved Mention"/>
    <w:basedOn w:val="DefaultParagraphFont"/>
    <w:uiPriority w:val="99"/>
    <w:rsid w:val="00476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023412">
      <w:bodyDiv w:val="1"/>
      <w:marLeft w:val="0"/>
      <w:marRight w:val="0"/>
      <w:marTop w:val="0"/>
      <w:marBottom w:val="0"/>
      <w:divBdr>
        <w:top w:val="none" w:sz="0" w:space="0" w:color="auto"/>
        <w:left w:val="none" w:sz="0" w:space="0" w:color="auto"/>
        <w:bottom w:val="none" w:sz="0" w:space="0" w:color="auto"/>
        <w:right w:val="none" w:sz="0" w:space="0" w:color="auto"/>
      </w:divBdr>
      <w:divsChild>
        <w:div w:id="1281105314">
          <w:marLeft w:val="0"/>
          <w:marRight w:val="0"/>
          <w:marTop w:val="0"/>
          <w:marBottom w:val="0"/>
          <w:divBdr>
            <w:top w:val="none" w:sz="0" w:space="0" w:color="auto"/>
            <w:left w:val="none" w:sz="0" w:space="0" w:color="auto"/>
            <w:bottom w:val="none" w:sz="0" w:space="0" w:color="auto"/>
            <w:right w:val="none" w:sz="0" w:space="0" w:color="auto"/>
          </w:divBdr>
        </w:div>
        <w:div w:id="1317803385">
          <w:marLeft w:val="0"/>
          <w:marRight w:val="0"/>
          <w:marTop w:val="0"/>
          <w:marBottom w:val="0"/>
          <w:divBdr>
            <w:top w:val="none" w:sz="0" w:space="0" w:color="auto"/>
            <w:left w:val="none" w:sz="0" w:space="0" w:color="auto"/>
            <w:bottom w:val="none" w:sz="0" w:space="0" w:color="auto"/>
            <w:right w:val="none" w:sz="0" w:space="0" w:color="auto"/>
          </w:divBdr>
        </w:div>
      </w:divsChild>
    </w:div>
    <w:div w:id="1972397406">
      <w:bodyDiv w:val="1"/>
      <w:marLeft w:val="0"/>
      <w:marRight w:val="0"/>
      <w:marTop w:val="0"/>
      <w:marBottom w:val="0"/>
      <w:divBdr>
        <w:top w:val="none" w:sz="0" w:space="0" w:color="auto"/>
        <w:left w:val="none" w:sz="0" w:space="0" w:color="auto"/>
        <w:bottom w:val="none" w:sz="0" w:space="0" w:color="auto"/>
        <w:right w:val="none" w:sz="0" w:space="0" w:color="auto"/>
      </w:divBdr>
      <w:divsChild>
        <w:div w:id="927427314">
          <w:marLeft w:val="0"/>
          <w:marRight w:val="0"/>
          <w:marTop w:val="0"/>
          <w:marBottom w:val="0"/>
          <w:divBdr>
            <w:top w:val="none" w:sz="0" w:space="0" w:color="auto"/>
            <w:left w:val="none" w:sz="0" w:space="0" w:color="auto"/>
            <w:bottom w:val="none" w:sz="0" w:space="0" w:color="auto"/>
            <w:right w:val="none" w:sz="0" w:space="0" w:color="auto"/>
          </w:divBdr>
        </w:div>
        <w:div w:id="1856963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eee.org/white-paper/2024/11/transforming-texas-how-heat-pumps-can-replace-electric-resistance-hea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ceee.org/white-paper/2023/08/energy-efficiency-and-demand-response-tools-address-texas-reliabili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ee.org/state-policy/scorecard" TargetMode="External"/><Relationship Id="rId5" Type="http://schemas.openxmlformats.org/officeDocument/2006/relationships/numbering" Target="numbering.xml"/><Relationship Id="rId15" Type="http://schemas.openxmlformats.org/officeDocument/2006/relationships/image" Target="media/image1.jp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ee.org/database-state-efficiency-screening-practice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nationalenergyscreeningproject.org" TargetMode="External"/><Relationship Id="rId1" Type="http://schemas.openxmlformats.org/officeDocument/2006/relationships/hyperlink" Target="https://public.tableau.com/app/profile/ac3e/viz/DatabaseofStateEfficiencyScreeningPractices_17377419994200/DatabaseofScreeningPractic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ikaBrindel\Downloads\ACEEE%20Letterhead%20Template%20-%20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5FD34F1AD71C4A8931BD4FF4A402AE" ma:contentTypeVersion="21" ma:contentTypeDescription="Create a new document." ma:contentTypeScope="" ma:versionID="f477a9cfa9152475b9da04341eb19f26">
  <xsd:schema xmlns:xsd="http://www.w3.org/2001/XMLSchema" xmlns:xs="http://www.w3.org/2001/XMLSchema" xmlns:p="http://schemas.microsoft.com/office/2006/metadata/properties" xmlns:ns1="http://schemas.microsoft.com/sharepoint/v3" xmlns:ns2="916f2784-e88d-4938-8e62-9e2f8ecc3328" xmlns:ns3="3f8ac59b-155e-4a2c-8f2a-16c0bbce1c7c" targetNamespace="http://schemas.microsoft.com/office/2006/metadata/properties" ma:root="true" ma:fieldsID="17ecbb31319d25e333d147467810d0cf" ns1:_="" ns2:_="" ns3:_="">
    <xsd:import namespace="http://schemas.microsoft.com/sharepoint/v3"/>
    <xsd:import namespace="916f2784-e88d-4938-8e62-9e2f8ecc3328"/>
    <xsd:import namespace="3f8ac59b-155e-4a2c-8f2a-16c0bbce1c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FinalReport" minOccurs="0"/>
                <xsd:element ref="ns2:FiscalYear"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1:_ip_UnifiedCompliancePolicyProperties" minOccurs="0"/>
                <xsd:element ref="ns1:_ip_UnifiedCompliancePolicyUIAction" minOccurs="0"/>
                <xsd:element ref="ns2:Sent_x003f_"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6f2784-e88d-4938-8e62-9e2f8ecc3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FinalReport" ma:index="14" nillable="true" ma:displayName="Document Type" ma:format="Dropdown" ma:internalName="FinalReport">
      <xsd:simpleType>
        <xsd:restriction base="dms:Choice">
          <xsd:enumeration value="Interim Report"/>
          <xsd:enumeration value="Final Report"/>
          <xsd:enumeration value="Draft"/>
          <xsd:enumeration value="Reference"/>
          <xsd:enumeration value="Grant Agreement"/>
          <xsd:enumeration value="Proposal"/>
          <xsd:enumeration value="Amendment"/>
        </xsd:restriction>
      </xsd:simpleType>
    </xsd:element>
    <xsd:element name="FiscalYear" ma:index="15" nillable="true" ma:displayName="Fiscal Year" ma:format="Dropdown" ma:internalName="FiscalYear">
      <xsd:simpleType>
        <xsd:restriction base="dms:Text">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Sent_x003f_" ma:index="24" nillable="true" ma:displayName="Sent?" ma:default="0" ma:format="Dropdown" ma:internalName="Sent_x003f_">
      <xsd:simpleType>
        <xsd:restriction base="dms:Boolea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16a9fad-b3a2-484b-ba1d-0028cce749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8ac59b-155e-4a2c-8f2a-16c0bbce1c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de6f7022-06e3-4566-9064-27a3faa0d365}" ma:internalName="TaxCatchAll" ma:showField="CatchAllData" ma:web="3f8ac59b-155e-4a2c-8f2a-16c0bbce1c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ent_x003f_ xmlns="916f2784-e88d-4938-8e62-9e2f8ecc3328">false</Sent_x003f_>
    <FiscalYear xmlns="916f2784-e88d-4938-8e62-9e2f8ecc3328" xsi:nil="true"/>
    <_ip_UnifiedCompliancePolicyProperties xmlns="http://schemas.microsoft.com/sharepoint/v3" xsi:nil="true"/>
    <FinalReport xmlns="916f2784-e88d-4938-8e62-9e2f8ecc3328" xsi:nil="true"/>
    <lcf76f155ced4ddcb4097134ff3c332f xmlns="916f2784-e88d-4938-8e62-9e2f8ecc3328">
      <Terms xmlns="http://schemas.microsoft.com/office/infopath/2007/PartnerControls"/>
    </lcf76f155ced4ddcb4097134ff3c332f>
    <TaxCatchAll xmlns="3f8ac59b-155e-4a2c-8f2a-16c0bbce1c7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BD8A75-47BA-4BED-9CA6-830C2857CE8D}">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916f2784-e88d-4938-8e62-9e2f8ecc3328"/>
    <ds:schemaRef ds:uri="3f8ac59b-155e-4a2c-8f2a-16c0bbce1c7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5EE10-A06B-47F6-98FA-0DE589861F35}">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39A92BDF-BE29-4B16-AFDF-FA641B731AE6}">
  <ds:schemaRefs>
    <ds:schemaRef ds:uri="http://schemas.microsoft.com/office/2006/metadata/properties"/>
    <ds:schemaRef ds:uri="http://www.w3.org/2000/xmlns/"/>
    <ds:schemaRef ds:uri="http://schemas.microsoft.com/sharepoint/v3"/>
    <ds:schemaRef ds:uri="http://www.w3.org/2001/XMLSchema-instance"/>
    <ds:schemaRef ds:uri="916f2784-e88d-4938-8e62-9e2f8ecc3328"/>
    <ds:schemaRef ds:uri="http://schemas.microsoft.com/office/infopath/2007/PartnerControls"/>
    <ds:schemaRef ds:uri="3f8ac59b-155e-4a2c-8f2a-16c0bbce1c7c"/>
  </ds:schemaRefs>
</ds:datastoreItem>
</file>

<file path=customXml/itemProps4.xml><?xml version="1.0" encoding="utf-8"?>
<ds:datastoreItem xmlns:ds="http://schemas.openxmlformats.org/officeDocument/2006/customXml" ds:itemID="{B94B17FD-B98B-4E4E-80A4-698493D0D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ACEEE%20Letterhead%20Template%20-%202015.dotx</Template>
  <TotalTime>0</TotalTime>
  <Pages>1</Pages>
  <Words>1768</Words>
  <Characters>10082</Characters>
  <Application>Microsoft Office Word</Application>
  <DocSecurity>4</DocSecurity>
  <Lines>84</Lines>
  <Paragraphs>23</Paragraphs>
  <ScaleCrop>false</ScaleCrop>
  <Company>ACEEE</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Brindel</dc:creator>
  <cp:keywords/>
  <cp:lastModifiedBy>Forest Bradley-Wright</cp:lastModifiedBy>
  <cp:revision>10</cp:revision>
  <cp:lastPrinted>2024-04-10T14:14:00Z</cp:lastPrinted>
  <dcterms:created xsi:type="dcterms:W3CDTF">2025-03-20T21:47:00Z</dcterms:created>
  <dcterms:modified xsi:type="dcterms:W3CDTF">2025-03-20T21:23:00Z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0x010100C05FD34F1AD71C4A8931BD4FF4A402AE</vt:lpwstr>
  </property>
  <property fmtid="{D5CDD505-2E9C-101B-9397-08002B2CF9AE}" pid="3" name="Order">
    <vt:r8>18000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